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EFDA" w14:textId="4C437F80" w:rsidR="002570E2" w:rsidRPr="005C1CDC" w:rsidRDefault="005C1CDC" w:rsidP="005C1CDC">
      <w:pPr>
        <w:pStyle w:val="Sinespaciado"/>
        <w:jc w:val="both"/>
        <w:rPr>
          <w:rFonts w:ascii="Verdana" w:hAnsi="Verdana"/>
          <w:b/>
          <w:bCs/>
        </w:rPr>
      </w:pPr>
      <w:r w:rsidRPr="005C1CDC">
        <w:rPr>
          <w:rFonts w:ascii="Verdana" w:hAnsi="Verdana"/>
          <w:b/>
          <w:bCs/>
        </w:rPr>
        <w:t>CONCEPTO 790 DEL 10 DE JUNIO DE 2021</w:t>
      </w:r>
    </w:p>
    <w:p w14:paraId="547F2EEF" w14:textId="70FFDD24" w:rsidR="005C1CDC" w:rsidRPr="005C1CDC" w:rsidRDefault="005C1CDC" w:rsidP="005C1CDC">
      <w:pPr>
        <w:pStyle w:val="Sinespaciado"/>
        <w:jc w:val="both"/>
        <w:rPr>
          <w:rFonts w:ascii="Verdana" w:hAnsi="Verdana"/>
          <w:b/>
          <w:bCs/>
        </w:rPr>
      </w:pPr>
      <w:r w:rsidRPr="005C1CDC">
        <w:rPr>
          <w:rFonts w:ascii="Verdana" w:hAnsi="Verdana"/>
          <w:b/>
          <w:bCs/>
        </w:rPr>
        <w:t>DIRECCIÓN DE IMPUESTOS Y ADUANAS NACIONALES</w:t>
      </w:r>
    </w:p>
    <w:p w14:paraId="66677481" w14:textId="77777777" w:rsidR="002570E2" w:rsidRPr="005C1CDC" w:rsidRDefault="002570E2" w:rsidP="005C1CDC">
      <w:pPr>
        <w:pStyle w:val="Sinespaciado"/>
        <w:jc w:val="both"/>
        <w:rPr>
          <w:rFonts w:ascii="Verdana" w:hAnsi="Verdana"/>
        </w:rPr>
      </w:pPr>
    </w:p>
    <w:p w14:paraId="29ED71CD" w14:textId="606D363D" w:rsidR="002570E2" w:rsidRPr="005C1CDC" w:rsidRDefault="005C1CDC" w:rsidP="005C1CDC">
      <w:pPr>
        <w:pStyle w:val="Sinespaciado"/>
        <w:jc w:val="both"/>
        <w:rPr>
          <w:rFonts w:ascii="Verdana" w:hAnsi="Verdana"/>
        </w:rPr>
      </w:pPr>
      <w:r>
        <w:rPr>
          <w:rFonts w:ascii="Verdana" w:hAnsi="Verdana"/>
        </w:rPr>
        <w:t>Bogotá, D.C.</w:t>
      </w:r>
    </w:p>
    <w:p w14:paraId="15337F65" w14:textId="77777777" w:rsidR="002570E2" w:rsidRPr="005C1CDC" w:rsidRDefault="002570E2" w:rsidP="005C1CDC">
      <w:pPr>
        <w:pStyle w:val="Sinespaciado"/>
        <w:jc w:val="both"/>
        <w:rPr>
          <w:rFonts w:ascii="Verdana" w:hAnsi="Verdana"/>
        </w:rPr>
      </w:pPr>
    </w:p>
    <w:p w14:paraId="22AD1C5F" w14:textId="4BAB4E2A" w:rsidR="002570E2" w:rsidRPr="005C1CDC" w:rsidRDefault="00243CE3" w:rsidP="005C1CDC">
      <w:pPr>
        <w:pStyle w:val="Sinespaciado"/>
        <w:jc w:val="both"/>
        <w:rPr>
          <w:rFonts w:ascii="Verdana" w:hAnsi="Verdana"/>
        </w:rPr>
      </w:pPr>
      <w:r w:rsidRPr="005C1CDC">
        <w:rPr>
          <w:rStyle w:val="Cuerpodeltexto22Espaciado0pto"/>
          <w:rFonts w:ascii="Verdana" w:hAnsi="Verdana"/>
          <w:b/>
          <w:bCs/>
          <w:sz w:val="24"/>
          <w:szCs w:val="24"/>
        </w:rPr>
        <w:t>Tema</w:t>
      </w:r>
      <w:r w:rsidR="005C1CDC">
        <w:rPr>
          <w:rStyle w:val="Cuerpodeltexto22Espaciado0pto"/>
          <w:rFonts w:ascii="Verdana" w:hAnsi="Verdana"/>
          <w:b/>
          <w:bCs/>
          <w:sz w:val="24"/>
          <w:szCs w:val="24"/>
        </w:rPr>
        <w:tab/>
      </w:r>
      <w:r w:rsidR="005C1CDC">
        <w:rPr>
          <w:rStyle w:val="Cuerpodeltexto22Espaciado0pto"/>
          <w:rFonts w:ascii="Verdana" w:hAnsi="Verdana"/>
          <w:b/>
          <w:bCs/>
          <w:sz w:val="24"/>
          <w:szCs w:val="24"/>
        </w:rPr>
        <w:tab/>
      </w:r>
      <w:r w:rsidR="005C1CDC">
        <w:rPr>
          <w:rStyle w:val="Cuerpodeltexto22Espaciado0pto"/>
          <w:rFonts w:ascii="Verdana" w:hAnsi="Verdana"/>
          <w:b/>
          <w:bCs/>
          <w:sz w:val="24"/>
          <w:szCs w:val="24"/>
        </w:rPr>
        <w:tab/>
      </w:r>
      <w:r w:rsidRPr="005C1CDC">
        <w:rPr>
          <w:rStyle w:val="Cuerpodeltexto22Espaciado0pto"/>
          <w:rFonts w:ascii="Verdana" w:hAnsi="Verdana"/>
          <w:sz w:val="24"/>
          <w:szCs w:val="24"/>
        </w:rPr>
        <w:t>Tributario</w:t>
      </w:r>
    </w:p>
    <w:p w14:paraId="662622F4" w14:textId="75AE0AA5" w:rsidR="002570E2" w:rsidRPr="005C1CDC" w:rsidRDefault="00243CE3" w:rsidP="005C1CDC">
      <w:pPr>
        <w:pStyle w:val="Sinespaciado"/>
        <w:ind w:left="2832" w:hanging="2832"/>
        <w:jc w:val="both"/>
        <w:rPr>
          <w:rFonts w:ascii="Verdana" w:hAnsi="Verdana"/>
        </w:rPr>
      </w:pPr>
      <w:r w:rsidRPr="005C1CDC">
        <w:rPr>
          <w:rStyle w:val="Cuerpodeltexto22Espaciado0pto"/>
          <w:rFonts w:ascii="Verdana" w:hAnsi="Verdana"/>
          <w:b/>
          <w:bCs/>
          <w:sz w:val="24"/>
          <w:szCs w:val="24"/>
        </w:rPr>
        <w:t>Descriptores</w:t>
      </w:r>
      <w:r w:rsidR="005C1CDC">
        <w:rPr>
          <w:rStyle w:val="Cuerpodeltexto22Espaciado0pto"/>
          <w:rFonts w:ascii="Verdana" w:hAnsi="Verdana"/>
          <w:b/>
          <w:bCs/>
          <w:sz w:val="24"/>
          <w:szCs w:val="24"/>
        </w:rPr>
        <w:tab/>
      </w:r>
      <w:r w:rsidRPr="005C1CDC">
        <w:rPr>
          <w:rStyle w:val="Cuerpodeltexto22Espaciado0pto"/>
          <w:rFonts w:ascii="Verdana" w:hAnsi="Verdana"/>
          <w:sz w:val="24"/>
          <w:szCs w:val="24"/>
        </w:rPr>
        <w:t>IVA en servicios intermedios de la producción - zona franca</w:t>
      </w:r>
    </w:p>
    <w:p w14:paraId="6017DE8E" w14:textId="66827631" w:rsidR="002570E2" w:rsidRPr="005C1CDC" w:rsidRDefault="00243CE3" w:rsidP="005C1CDC">
      <w:pPr>
        <w:pStyle w:val="Sinespaciado"/>
        <w:jc w:val="both"/>
        <w:rPr>
          <w:rFonts w:ascii="Verdana" w:hAnsi="Verdana"/>
        </w:rPr>
      </w:pPr>
      <w:r w:rsidRPr="005C1CDC">
        <w:rPr>
          <w:rStyle w:val="Cuerpodeltexto22Espaciado0pto"/>
          <w:rFonts w:ascii="Verdana" w:hAnsi="Verdana"/>
          <w:b/>
          <w:bCs/>
          <w:sz w:val="24"/>
          <w:szCs w:val="24"/>
        </w:rPr>
        <w:t>Fuentes formales</w:t>
      </w:r>
      <w:r w:rsidR="005C1CDC">
        <w:rPr>
          <w:rStyle w:val="Cuerpodeltexto22Espaciado0pto"/>
          <w:rFonts w:ascii="Verdana" w:hAnsi="Verdana"/>
          <w:b/>
          <w:bCs/>
          <w:sz w:val="24"/>
          <w:szCs w:val="24"/>
        </w:rPr>
        <w:tab/>
      </w:r>
      <w:r w:rsidRPr="005C1CDC">
        <w:rPr>
          <w:rStyle w:val="Cuerpodeltexto22Espaciado0pto"/>
          <w:rFonts w:ascii="Verdana" w:hAnsi="Verdana"/>
          <w:sz w:val="24"/>
          <w:szCs w:val="24"/>
        </w:rPr>
        <w:t>Parágrafo del artículo 476 del Estatuto Tributario</w:t>
      </w:r>
    </w:p>
    <w:p w14:paraId="0EC1C75A" w14:textId="77777777" w:rsidR="002570E2" w:rsidRPr="005C1CDC" w:rsidRDefault="00243CE3" w:rsidP="005C1CDC">
      <w:pPr>
        <w:pStyle w:val="Sinespaciado"/>
        <w:ind w:left="2124" w:firstLine="708"/>
        <w:jc w:val="both"/>
        <w:rPr>
          <w:rFonts w:ascii="Verdana" w:hAnsi="Verdana"/>
        </w:rPr>
      </w:pPr>
      <w:r w:rsidRPr="005C1CDC">
        <w:rPr>
          <w:rStyle w:val="Cuerpodeltexto22Espaciado0pto"/>
          <w:rFonts w:ascii="Verdana" w:hAnsi="Verdana"/>
          <w:sz w:val="24"/>
          <w:szCs w:val="24"/>
        </w:rPr>
        <w:t>Oficio No. 900925 - int 379 de 2020</w:t>
      </w:r>
    </w:p>
    <w:p w14:paraId="4B7B53A6" w14:textId="77777777" w:rsidR="005C1CDC" w:rsidRDefault="005C1CDC" w:rsidP="005C1CDC">
      <w:pPr>
        <w:pStyle w:val="Sinespaciado"/>
        <w:jc w:val="both"/>
        <w:rPr>
          <w:rStyle w:val="Cuerpodeltexto22Espaciado0pto"/>
          <w:rFonts w:ascii="Verdana" w:hAnsi="Verdana"/>
          <w:sz w:val="24"/>
          <w:szCs w:val="24"/>
        </w:rPr>
      </w:pPr>
    </w:p>
    <w:p w14:paraId="3B099266" w14:textId="35FD24D8" w:rsidR="002570E2" w:rsidRPr="005C1CDC" w:rsidRDefault="00243CE3" w:rsidP="005C1CDC">
      <w:pPr>
        <w:pStyle w:val="Sinespaciado"/>
        <w:jc w:val="both"/>
        <w:rPr>
          <w:rFonts w:ascii="Verdana" w:hAnsi="Verdana"/>
        </w:rPr>
      </w:pPr>
      <w:r w:rsidRPr="005C1CDC">
        <w:rPr>
          <w:rStyle w:val="Cuerpodeltexto22Espaciado0pto"/>
          <w:rFonts w:ascii="Verdana" w:hAnsi="Verdana"/>
          <w:sz w:val="24"/>
          <w:szCs w:val="24"/>
        </w:rPr>
        <w:t>Cordial saludo, Sr. Bach.</w:t>
      </w:r>
    </w:p>
    <w:p w14:paraId="51DF532F" w14:textId="77777777" w:rsidR="005C1CDC" w:rsidRDefault="005C1CDC" w:rsidP="005C1CDC">
      <w:pPr>
        <w:pStyle w:val="Sinespaciado"/>
        <w:jc w:val="both"/>
        <w:rPr>
          <w:rStyle w:val="Cuerpodeltexto22Espaciado0pto"/>
          <w:rFonts w:ascii="Verdana" w:hAnsi="Verdana"/>
          <w:sz w:val="24"/>
          <w:szCs w:val="24"/>
        </w:rPr>
      </w:pPr>
    </w:p>
    <w:p w14:paraId="79423090" w14:textId="5544F7B2" w:rsidR="002570E2" w:rsidRPr="005C1CDC" w:rsidRDefault="00243CE3" w:rsidP="005C1CDC">
      <w:pPr>
        <w:pStyle w:val="Sinespaciado"/>
        <w:jc w:val="both"/>
        <w:rPr>
          <w:rFonts w:ascii="Verdana" w:hAnsi="Verdana"/>
        </w:rPr>
      </w:pPr>
      <w:r w:rsidRPr="005C1CDC">
        <w:rPr>
          <w:rStyle w:val="Cuerpodeltexto22Espaciado0pto"/>
          <w:rFonts w:ascii="Verdana" w:hAnsi="Verdana"/>
          <w:sz w:val="24"/>
          <w:szCs w:val="24"/>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7EA3D65A" w14:textId="77777777" w:rsidR="005C1CDC" w:rsidRDefault="005C1CDC" w:rsidP="005C1CDC">
      <w:pPr>
        <w:pStyle w:val="Sinespaciado"/>
        <w:jc w:val="both"/>
        <w:rPr>
          <w:rStyle w:val="Cuerpodeltexto3Sincursiva"/>
          <w:rFonts w:ascii="Verdana" w:hAnsi="Verdana"/>
          <w:i w:val="0"/>
          <w:iCs w:val="0"/>
          <w:sz w:val="24"/>
          <w:szCs w:val="24"/>
        </w:rPr>
      </w:pPr>
    </w:p>
    <w:p w14:paraId="7B4DF886" w14:textId="7F872503" w:rsidR="002570E2" w:rsidRPr="005C1CDC" w:rsidRDefault="00243CE3" w:rsidP="005C1CDC">
      <w:pPr>
        <w:pStyle w:val="Sinespaciado"/>
        <w:jc w:val="both"/>
        <w:rPr>
          <w:rFonts w:ascii="Verdana" w:hAnsi="Verdana"/>
        </w:rPr>
      </w:pPr>
      <w:r w:rsidRPr="005C1CDC">
        <w:rPr>
          <w:rStyle w:val="Cuerpodeltexto3Sincursiva"/>
          <w:rFonts w:ascii="Verdana" w:hAnsi="Verdana"/>
          <w:i w:val="0"/>
          <w:iCs w:val="0"/>
          <w:sz w:val="24"/>
          <w:szCs w:val="24"/>
        </w:rPr>
        <w:t xml:space="preserve">Mediante el radicado de la referencia, el peticionario solicita se dé respuesta a las preguntas que a continuación se enuncian bajo el siguiente supuesto de hecho: </w:t>
      </w:r>
      <w:r w:rsidRPr="005C1CDC">
        <w:rPr>
          <w:rStyle w:val="Cuerpodeltexto31"/>
          <w:rFonts w:ascii="Verdana" w:hAnsi="Verdana"/>
          <w:sz w:val="24"/>
          <w:szCs w:val="24"/>
        </w:rPr>
        <w:t>una empresa sin domicilio o presencia permanente en Colombia (no residente) contrata los servicios de un usuario de zona franca relacionados con la operación logística (bodegaje, transporte y nacionalización) para los productos que comercializa en territorio colombiano necesaria para poner en condiciones de utilización y consumo, en el resto del territorio aduanero nacional, productos exentos de IVA.</w:t>
      </w:r>
    </w:p>
    <w:p w14:paraId="6FDD1B0A" w14:textId="77777777" w:rsidR="005C1CDC" w:rsidRDefault="005C1CDC" w:rsidP="005C1CDC">
      <w:pPr>
        <w:pStyle w:val="Sinespaciado"/>
        <w:jc w:val="both"/>
        <w:rPr>
          <w:rStyle w:val="Cuerpodeltexto31"/>
          <w:rFonts w:ascii="Verdana" w:hAnsi="Verdana"/>
          <w:sz w:val="24"/>
          <w:szCs w:val="24"/>
        </w:rPr>
      </w:pPr>
    </w:p>
    <w:p w14:paraId="78DA47CB" w14:textId="77777777" w:rsidR="005C1CDC" w:rsidRDefault="00243CE3" w:rsidP="005C1CDC">
      <w:pPr>
        <w:pStyle w:val="Sinespaciado"/>
        <w:numPr>
          <w:ilvl w:val="0"/>
          <w:numId w:val="4"/>
        </w:numPr>
        <w:jc w:val="both"/>
        <w:rPr>
          <w:rFonts w:ascii="Verdana" w:hAnsi="Verdana"/>
        </w:rPr>
      </w:pPr>
      <w:r w:rsidRPr="005C1CDC">
        <w:rPr>
          <w:rStyle w:val="Cuerpodeltexto31"/>
          <w:rFonts w:ascii="Verdana" w:hAnsi="Verdana"/>
          <w:sz w:val="24"/>
          <w:szCs w:val="24"/>
        </w:rPr>
        <w:t>Como no hay una lista taxativa de los servicios que se clasifiquen como intermedios, ¿cuándo se entiende excluido de esta definición un tipo de servicio?</w:t>
      </w:r>
    </w:p>
    <w:p w14:paraId="7A380989" w14:textId="77777777" w:rsidR="005C1CDC" w:rsidRDefault="00243CE3" w:rsidP="005C1CDC">
      <w:pPr>
        <w:pStyle w:val="Sinespaciado"/>
        <w:numPr>
          <w:ilvl w:val="0"/>
          <w:numId w:val="4"/>
        </w:numPr>
        <w:jc w:val="both"/>
        <w:rPr>
          <w:rFonts w:ascii="Verdana" w:hAnsi="Verdana"/>
        </w:rPr>
      </w:pPr>
      <w:r w:rsidRPr="005C1CDC">
        <w:rPr>
          <w:rStyle w:val="Cuerpodeltexto31"/>
          <w:rFonts w:ascii="Verdana" w:hAnsi="Verdana"/>
          <w:sz w:val="24"/>
          <w:szCs w:val="24"/>
        </w:rPr>
        <w:t>Dado que la persona que fabrica el bien es diferente a la que presta los servicios logísticos en zona franca, ¿clasificarían éstos como servicios intermedios y, por lo tanto, estarían exentos de IVA por seguir el servicio la suerte del producto final?</w:t>
      </w:r>
    </w:p>
    <w:p w14:paraId="799D9B92" w14:textId="7AB12DD4" w:rsidR="002570E2" w:rsidRPr="005C1CDC" w:rsidRDefault="00243CE3" w:rsidP="005C1CDC">
      <w:pPr>
        <w:pStyle w:val="Sinespaciado"/>
        <w:numPr>
          <w:ilvl w:val="0"/>
          <w:numId w:val="4"/>
        </w:numPr>
        <w:jc w:val="both"/>
        <w:rPr>
          <w:rFonts w:ascii="Verdana" w:hAnsi="Verdana"/>
        </w:rPr>
      </w:pPr>
      <w:r w:rsidRPr="005C1CDC">
        <w:rPr>
          <w:rStyle w:val="Cuerpodeltexto31"/>
          <w:rFonts w:ascii="Verdana" w:hAnsi="Verdana"/>
          <w:sz w:val="24"/>
          <w:szCs w:val="24"/>
        </w:rPr>
        <w:t>Se puede afirmar que los servicios de operación logística prestados por el usuario de zona franca están exentos del IVA al estar el producto final excluido de este impuesto?</w:t>
      </w:r>
    </w:p>
    <w:p w14:paraId="7A1454F6" w14:textId="77777777" w:rsidR="005C1CDC" w:rsidRDefault="005C1CDC" w:rsidP="005C1CDC">
      <w:pPr>
        <w:pStyle w:val="Sinespaciado"/>
        <w:jc w:val="both"/>
        <w:rPr>
          <w:rStyle w:val="Cuerpodeltexto22Espaciado0pto"/>
          <w:rFonts w:ascii="Verdana" w:hAnsi="Verdana"/>
          <w:sz w:val="24"/>
          <w:szCs w:val="24"/>
        </w:rPr>
      </w:pPr>
    </w:p>
    <w:p w14:paraId="2E661964" w14:textId="52D2BFC9" w:rsidR="002570E2" w:rsidRPr="005C1CDC" w:rsidRDefault="00243CE3" w:rsidP="005C1CDC">
      <w:pPr>
        <w:pStyle w:val="Sinespaciado"/>
        <w:jc w:val="both"/>
        <w:rPr>
          <w:rFonts w:ascii="Verdana" w:hAnsi="Verdana"/>
        </w:rPr>
      </w:pPr>
      <w:r w:rsidRPr="005C1CDC">
        <w:rPr>
          <w:rStyle w:val="Cuerpodeltexto22Espaciado0pto"/>
          <w:rFonts w:ascii="Verdana" w:hAnsi="Verdana"/>
          <w:sz w:val="24"/>
          <w:szCs w:val="24"/>
        </w:rPr>
        <w:lastRenderedPageBreak/>
        <w:t>Sobre el particular, las consideraciones de este Despacho son las siguientes, no sin antes reiterar que no le corresponde pronunciarse sobre situaciones de carácter particular ni prestar asesoría específica.</w:t>
      </w:r>
    </w:p>
    <w:p w14:paraId="6B780AD1" w14:textId="77777777" w:rsidR="005C1CDC" w:rsidRDefault="005C1CDC" w:rsidP="005C1CDC">
      <w:pPr>
        <w:pStyle w:val="Sinespaciado"/>
        <w:jc w:val="both"/>
        <w:rPr>
          <w:rStyle w:val="Cuerpodeltexto3Sincursiva"/>
          <w:rFonts w:ascii="Verdana" w:hAnsi="Verdana"/>
          <w:i w:val="0"/>
          <w:iCs w:val="0"/>
          <w:sz w:val="24"/>
          <w:szCs w:val="24"/>
        </w:rPr>
      </w:pPr>
    </w:p>
    <w:p w14:paraId="1DE8D3CB" w14:textId="6F20FB39" w:rsidR="002570E2" w:rsidRPr="005C1CDC" w:rsidRDefault="00243CE3" w:rsidP="005C1CDC">
      <w:pPr>
        <w:pStyle w:val="Sinespaciado"/>
        <w:jc w:val="both"/>
        <w:rPr>
          <w:rFonts w:ascii="Verdana" w:hAnsi="Verdana"/>
        </w:rPr>
      </w:pPr>
      <w:r w:rsidRPr="005C1CDC">
        <w:rPr>
          <w:rStyle w:val="Cuerpodeltexto3Sincursiva"/>
          <w:rFonts w:ascii="Verdana" w:hAnsi="Verdana"/>
          <w:i w:val="0"/>
          <w:iCs w:val="0"/>
          <w:sz w:val="24"/>
          <w:szCs w:val="24"/>
        </w:rPr>
        <w:t xml:space="preserve">El parágrafo de artículo 476 del Estatuto Tributario señala que </w:t>
      </w:r>
      <w:r w:rsidR="005C1CDC">
        <w:rPr>
          <w:rStyle w:val="Cuerpodeltexto31"/>
          <w:rFonts w:ascii="Verdana" w:hAnsi="Verdana"/>
          <w:sz w:val="24"/>
          <w:szCs w:val="24"/>
        </w:rPr>
        <w:t>“</w:t>
      </w:r>
      <w:r w:rsidRPr="005C1CDC">
        <w:rPr>
          <w:rStyle w:val="Cuerpodeltexto31"/>
          <w:rFonts w:ascii="Verdana" w:hAnsi="Verdana"/>
          <w:sz w:val="24"/>
          <w:szCs w:val="24"/>
        </w:rPr>
        <w:t xml:space="preserve">En los casos de trabajos de </w:t>
      </w:r>
      <w:r w:rsidRPr="005C1CDC">
        <w:rPr>
          <w:rStyle w:val="Cuerpodeltexto32"/>
          <w:rFonts w:ascii="Verdana" w:hAnsi="Verdana"/>
          <w:sz w:val="24"/>
          <w:szCs w:val="24"/>
        </w:rPr>
        <w:t>fabricación, elaboración</w:t>
      </w:r>
      <w:r w:rsidRPr="005C1CDC">
        <w:rPr>
          <w:rStyle w:val="Cuerpodeltexto31"/>
          <w:rFonts w:ascii="Verdana" w:hAnsi="Verdana"/>
          <w:sz w:val="24"/>
          <w:szCs w:val="24"/>
        </w:rPr>
        <w:t xml:space="preserve"> o </w:t>
      </w:r>
      <w:r w:rsidRPr="005C1CDC">
        <w:rPr>
          <w:rStyle w:val="Cuerpodeltexto32"/>
          <w:rFonts w:ascii="Verdana" w:hAnsi="Verdana"/>
          <w:sz w:val="24"/>
          <w:szCs w:val="24"/>
        </w:rPr>
        <w:t>construcción</w:t>
      </w:r>
      <w:r w:rsidRPr="005C1CDC">
        <w:rPr>
          <w:rStyle w:val="Cuerpodeltexto31"/>
          <w:rFonts w:ascii="Verdana" w:hAnsi="Verdana"/>
          <w:sz w:val="24"/>
          <w:szCs w:val="24"/>
        </w:rPr>
        <w:t xml:space="preserve"> de bienes corporales muebles, realizados por encargo de terceros, incluidos los destinados a convertirse en inmuebles por accesión, con o sin aporte de materias primas, ya sea que </w:t>
      </w:r>
      <w:r w:rsidRPr="005C1CDC">
        <w:rPr>
          <w:rStyle w:val="Cuerpodeltexto32"/>
          <w:rFonts w:ascii="Verdana" w:hAnsi="Verdana"/>
          <w:sz w:val="24"/>
          <w:szCs w:val="24"/>
        </w:rPr>
        <w:t>supongan la obtención del producto final</w:t>
      </w:r>
      <w:r w:rsidRPr="005C1CDC">
        <w:rPr>
          <w:rStyle w:val="Cuerpodeltexto31"/>
          <w:rFonts w:ascii="Verdana" w:hAnsi="Verdana"/>
          <w:sz w:val="24"/>
          <w:szCs w:val="24"/>
        </w:rPr>
        <w:t xml:space="preserve"> o constituyan una etapa de su fabricación, elaboración, construcción o </w:t>
      </w:r>
      <w:r w:rsidRPr="005C1CDC">
        <w:rPr>
          <w:rStyle w:val="Cuerpodeltexto32"/>
          <w:rFonts w:ascii="Verdana" w:hAnsi="Verdana"/>
          <w:sz w:val="24"/>
          <w:szCs w:val="24"/>
        </w:rPr>
        <w:t>puesta en condiciones de utilización,</w:t>
      </w:r>
      <w:r w:rsidRPr="005C1CDC">
        <w:rPr>
          <w:rStyle w:val="Cuerpodeltexto31"/>
          <w:rFonts w:ascii="Verdana" w:hAnsi="Verdana"/>
          <w:sz w:val="24"/>
          <w:szCs w:val="24"/>
        </w:rPr>
        <w:t xml:space="preserve"> la tarifa aplicable es la que corresponda al bien que resulte de la prestación del servicio. (...)” </w:t>
      </w:r>
      <w:r w:rsidRPr="005C1CDC">
        <w:rPr>
          <w:rStyle w:val="Cuerpodeltexto3Sincursiva"/>
          <w:rFonts w:ascii="Verdana" w:hAnsi="Verdana"/>
          <w:i w:val="0"/>
          <w:iCs w:val="0"/>
          <w:sz w:val="24"/>
          <w:szCs w:val="24"/>
        </w:rPr>
        <w:t>(Subrayado por fuera de texto).</w:t>
      </w:r>
    </w:p>
    <w:p w14:paraId="7F17AE63" w14:textId="77777777" w:rsidR="005C1CDC" w:rsidRDefault="005C1CDC" w:rsidP="005C1CDC">
      <w:pPr>
        <w:pStyle w:val="Sinespaciado"/>
        <w:jc w:val="both"/>
        <w:rPr>
          <w:rStyle w:val="Cuerpodeltexto22Espaciado0pto"/>
          <w:rFonts w:ascii="Verdana" w:hAnsi="Verdana"/>
          <w:sz w:val="24"/>
          <w:szCs w:val="24"/>
        </w:rPr>
      </w:pPr>
    </w:p>
    <w:p w14:paraId="0811CAA5" w14:textId="5F529B2B" w:rsidR="002570E2" w:rsidRPr="005C1CDC" w:rsidRDefault="00243CE3" w:rsidP="005C1CDC">
      <w:pPr>
        <w:pStyle w:val="Sinespaciado"/>
        <w:jc w:val="both"/>
        <w:rPr>
          <w:rFonts w:ascii="Verdana" w:hAnsi="Verdana"/>
        </w:rPr>
      </w:pPr>
      <w:r w:rsidRPr="005C1CDC">
        <w:rPr>
          <w:rStyle w:val="Cuerpodeltexto22Espaciado0pto"/>
          <w:rFonts w:ascii="Verdana" w:hAnsi="Verdana"/>
          <w:sz w:val="24"/>
          <w:szCs w:val="24"/>
        </w:rPr>
        <w:t>Frente a los servicios intermedios de la producción y el tratamiento en materia de IVA que para los mismos establece el parágrafo del artículo 476 del Estatuto Tributario, esta Subdirección se pronunció mediante Oficio No. 900925 - int 379 de 2020, el cual se anexa, en los siguientes términos:</w:t>
      </w:r>
    </w:p>
    <w:p w14:paraId="2D99F871" w14:textId="77777777" w:rsidR="005C1CDC" w:rsidRDefault="005C1CDC" w:rsidP="005C1CDC">
      <w:pPr>
        <w:pStyle w:val="Sinespaciado"/>
        <w:jc w:val="both"/>
        <w:rPr>
          <w:rStyle w:val="Cuerpodeltexto31"/>
          <w:rFonts w:ascii="Verdana" w:hAnsi="Verdana"/>
          <w:sz w:val="24"/>
          <w:szCs w:val="24"/>
        </w:rPr>
      </w:pPr>
    </w:p>
    <w:p w14:paraId="2D97E2C0" w14:textId="4A8A1023" w:rsidR="002570E2" w:rsidRPr="005C1CDC" w:rsidRDefault="00243CE3" w:rsidP="005C1CDC">
      <w:pPr>
        <w:pStyle w:val="Sinespaciado"/>
        <w:ind w:left="708"/>
        <w:jc w:val="both"/>
        <w:rPr>
          <w:rFonts w:ascii="Verdana" w:hAnsi="Verdana"/>
        </w:rPr>
      </w:pPr>
      <w:r w:rsidRPr="005C1CDC">
        <w:rPr>
          <w:rStyle w:val="Cuerpodeltexto31"/>
          <w:rFonts w:ascii="Verdana" w:hAnsi="Verdana"/>
          <w:sz w:val="24"/>
          <w:szCs w:val="24"/>
        </w:rPr>
        <w:t>“(...)</w:t>
      </w:r>
    </w:p>
    <w:p w14:paraId="36E2AC2E" w14:textId="77777777" w:rsidR="002570E2" w:rsidRPr="005C1CDC" w:rsidRDefault="00243CE3" w:rsidP="005C1CDC">
      <w:pPr>
        <w:pStyle w:val="Sinespaciado"/>
        <w:ind w:left="708"/>
        <w:jc w:val="both"/>
        <w:rPr>
          <w:rFonts w:ascii="Verdana" w:hAnsi="Verdana"/>
        </w:rPr>
      </w:pPr>
      <w:r w:rsidRPr="005C1CDC">
        <w:rPr>
          <w:rStyle w:val="Cuerpodeltexto31"/>
          <w:rFonts w:ascii="Verdana" w:hAnsi="Verdana"/>
          <w:sz w:val="24"/>
          <w:szCs w:val="24"/>
        </w:rPr>
        <w:t>Respecto al servicio intermedio de la producción, la doctrina de la Entidad ha indicado que:</w:t>
      </w:r>
    </w:p>
    <w:p w14:paraId="5E9EAB2F" w14:textId="77777777" w:rsidR="005C1CDC" w:rsidRDefault="005C1CDC" w:rsidP="005C1CDC">
      <w:pPr>
        <w:pStyle w:val="Sinespaciado"/>
        <w:ind w:left="708"/>
        <w:jc w:val="both"/>
        <w:rPr>
          <w:rStyle w:val="Cuerpodeltexto31"/>
          <w:rFonts w:ascii="Verdana" w:hAnsi="Verdana"/>
          <w:sz w:val="24"/>
          <w:szCs w:val="24"/>
        </w:rPr>
      </w:pPr>
    </w:p>
    <w:p w14:paraId="30F41EAE" w14:textId="4455067E" w:rsidR="002570E2" w:rsidRPr="005C1CDC" w:rsidRDefault="00243CE3" w:rsidP="005C1CDC">
      <w:pPr>
        <w:pStyle w:val="Sinespaciado"/>
        <w:ind w:left="708"/>
        <w:jc w:val="both"/>
        <w:rPr>
          <w:rFonts w:ascii="Verdana" w:hAnsi="Verdana"/>
        </w:rPr>
      </w:pPr>
      <w:r w:rsidRPr="005C1CDC">
        <w:rPr>
          <w:rStyle w:val="Cuerpodeltexto31"/>
          <w:rFonts w:ascii="Verdana" w:hAnsi="Verdana"/>
          <w:sz w:val="24"/>
          <w:szCs w:val="24"/>
        </w:rPr>
        <w:t xml:space="preserve">‘En primer lugar es preciso tener en cuenta que </w:t>
      </w:r>
      <w:r w:rsidRPr="005C1CDC">
        <w:rPr>
          <w:rStyle w:val="Cuerpodeltexto32"/>
          <w:rFonts w:ascii="Verdana" w:hAnsi="Verdana"/>
          <w:sz w:val="24"/>
          <w:szCs w:val="24"/>
        </w:rPr>
        <w:t>los servicios intermedios tienen aplicación dentro de un proceso productivo en virtud del cual se fabrican, elaboran o ponen en condiciones de utilización bienes corporales muebles,</w:t>
      </w:r>
      <w:r w:rsidRPr="005C1CDC">
        <w:rPr>
          <w:rStyle w:val="Cuerpodeltexto31"/>
          <w:rFonts w:ascii="Verdana" w:hAnsi="Verdana"/>
          <w:sz w:val="24"/>
          <w:szCs w:val="24"/>
        </w:rPr>
        <w:t xml:space="preserve"> con o sin adición de materias primas, aplicándose la tarifa del bien resultante directamente del servicio y no la del bien para el cual se destine.</w:t>
      </w:r>
      <w:r w:rsidRPr="005C1CDC">
        <w:rPr>
          <w:rStyle w:val="Cuerpodeltexto3Sincursiva"/>
          <w:rFonts w:ascii="Verdana" w:hAnsi="Verdana"/>
          <w:i w:val="0"/>
          <w:iCs w:val="0"/>
          <w:sz w:val="24"/>
          <w:szCs w:val="24"/>
        </w:rPr>
        <w:t xml:space="preserve">’ </w:t>
      </w:r>
      <w:r w:rsidRPr="005C1CDC">
        <w:rPr>
          <w:rStyle w:val="Cuerpodeltexto31"/>
          <w:rFonts w:ascii="Verdana" w:hAnsi="Verdana"/>
          <w:sz w:val="24"/>
          <w:szCs w:val="24"/>
        </w:rPr>
        <w:t>(Concepto 00001 de 2003).</w:t>
      </w:r>
    </w:p>
    <w:p w14:paraId="13912735" w14:textId="77777777" w:rsidR="005C1CDC" w:rsidRDefault="005C1CDC" w:rsidP="005C1CDC">
      <w:pPr>
        <w:pStyle w:val="Sinespaciado"/>
        <w:ind w:left="708"/>
        <w:jc w:val="both"/>
        <w:rPr>
          <w:rStyle w:val="Cuerpodeltexto31"/>
          <w:rFonts w:ascii="Verdana" w:hAnsi="Verdana"/>
          <w:sz w:val="24"/>
          <w:szCs w:val="24"/>
        </w:rPr>
      </w:pPr>
    </w:p>
    <w:p w14:paraId="2049B502" w14:textId="0CE6F6A7" w:rsidR="002570E2" w:rsidRPr="005C1CDC" w:rsidRDefault="00243CE3" w:rsidP="005C1CDC">
      <w:pPr>
        <w:pStyle w:val="Sinespaciado"/>
        <w:ind w:left="708"/>
        <w:jc w:val="both"/>
        <w:rPr>
          <w:rFonts w:ascii="Verdana" w:hAnsi="Verdana"/>
        </w:rPr>
      </w:pPr>
      <w:r w:rsidRPr="005C1CDC">
        <w:rPr>
          <w:rStyle w:val="Cuerpodeltexto31"/>
          <w:rFonts w:ascii="Verdana" w:hAnsi="Verdana"/>
          <w:sz w:val="24"/>
          <w:szCs w:val="24"/>
        </w:rPr>
        <w:t>(...)</w:t>
      </w:r>
    </w:p>
    <w:p w14:paraId="2377F6F3" w14:textId="77777777" w:rsidR="005C1CDC" w:rsidRDefault="005C1CDC" w:rsidP="005C1CDC">
      <w:pPr>
        <w:pStyle w:val="Sinespaciado"/>
        <w:ind w:left="708"/>
        <w:jc w:val="both"/>
        <w:rPr>
          <w:rStyle w:val="Cuerpodeltexto31"/>
          <w:rFonts w:ascii="Verdana" w:hAnsi="Verdana"/>
          <w:sz w:val="24"/>
          <w:szCs w:val="24"/>
        </w:rPr>
      </w:pPr>
    </w:p>
    <w:p w14:paraId="46B1BF41" w14:textId="4299DB1E" w:rsidR="002570E2" w:rsidRPr="005C1CDC" w:rsidRDefault="00243CE3" w:rsidP="005C1CDC">
      <w:pPr>
        <w:pStyle w:val="Sinespaciado"/>
        <w:ind w:left="708"/>
        <w:jc w:val="both"/>
        <w:rPr>
          <w:rFonts w:ascii="Verdana" w:hAnsi="Verdana"/>
        </w:rPr>
      </w:pPr>
      <w:r w:rsidRPr="005C1CDC">
        <w:rPr>
          <w:rStyle w:val="Cuerpodeltexto31"/>
          <w:rFonts w:ascii="Verdana" w:hAnsi="Verdana"/>
          <w:sz w:val="24"/>
          <w:szCs w:val="24"/>
        </w:rPr>
        <w:t>Así las cosas, dicha doctrina de la DIAN concluye que:</w:t>
      </w:r>
    </w:p>
    <w:p w14:paraId="3DE90113" w14:textId="77777777" w:rsidR="005C1CDC" w:rsidRDefault="005C1CDC" w:rsidP="005C1CDC">
      <w:pPr>
        <w:pStyle w:val="Sinespaciado"/>
        <w:ind w:left="708"/>
        <w:jc w:val="both"/>
        <w:rPr>
          <w:rStyle w:val="Cuerpodeltexto32"/>
          <w:rFonts w:ascii="Verdana" w:hAnsi="Verdana"/>
          <w:sz w:val="24"/>
          <w:szCs w:val="24"/>
        </w:rPr>
      </w:pPr>
    </w:p>
    <w:p w14:paraId="2C02FCED" w14:textId="232052E8" w:rsidR="002570E2" w:rsidRPr="005C1CDC" w:rsidRDefault="00243CE3" w:rsidP="005C1CDC">
      <w:pPr>
        <w:pStyle w:val="Sinespaciado"/>
        <w:ind w:left="708"/>
        <w:jc w:val="both"/>
        <w:rPr>
          <w:rFonts w:ascii="Verdana" w:hAnsi="Verdana"/>
        </w:rPr>
      </w:pPr>
      <w:r w:rsidRPr="005C1CDC">
        <w:rPr>
          <w:rStyle w:val="Cuerpodeltexto32"/>
          <w:rFonts w:ascii="Verdana" w:hAnsi="Verdana"/>
          <w:sz w:val="24"/>
          <w:szCs w:val="24"/>
        </w:rPr>
        <w:t>‘Si del servicio no resulta un bien corporal mueble gravado, excluido o exento o no se presta en forma directa sobre bienes en proceso de transformación, no es posible hablar de servicio intermedio</w:t>
      </w:r>
      <w:r w:rsidR="005C1CDC">
        <w:rPr>
          <w:rStyle w:val="Cuerpodeltexto32"/>
          <w:rFonts w:ascii="Verdana" w:hAnsi="Verdana"/>
          <w:sz w:val="24"/>
          <w:szCs w:val="24"/>
          <w:u w:val="none"/>
        </w:rPr>
        <w:t>,</w:t>
      </w:r>
      <w:r w:rsidRPr="005C1CDC">
        <w:rPr>
          <w:rStyle w:val="Cuerpodeltexto31"/>
          <w:rFonts w:ascii="Verdana" w:hAnsi="Verdana"/>
          <w:sz w:val="24"/>
          <w:szCs w:val="24"/>
        </w:rPr>
        <w:t xml:space="preserve"> al no estar en presencia de un bien resultante en la etapa de producción, sino de una </w:t>
      </w:r>
      <w:r w:rsidRPr="005C1CDC">
        <w:rPr>
          <w:rStyle w:val="Cuerpodeltexto32"/>
          <w:rFonts w:ascii="Verdana" w:hAnsi="Verdana"/>
          <w:sz w:val="24"/>
          <w:szCs w:val="24"/>
        </w:rPr>
        <w:t>obligación de hacer constitutiva de un servicio diferente</w:t>
      </w:r>
      <w:r w:rsidRPr="005C1CDC">
        <w:rPr>
          <w:rStyle w:val="Cuerpodeltexto32"/>
          <w:rFonts w:ascii="Verdana" w:hAnsi="Verdana"/>
          <w:sz w:val="24"/>
          <w:szCs w:val="24"/>
          <w:u w:val="none"/>
        </w:rPr>
        <w:t>,</w:t>
      </w:r>
      <w:r w:rsidRPr="005C1CDC">
        <w:rPr>
          <w:rStyle w:val="Cuerpodeltexto31"/>
          <w:rFonts w:ascii="Verdana" w:hAnsi="Verdana"/>
          <w:sz w:val="24"/>
          <w:szCs w:val="24"/>
        </w:rPr>
        <w:t xml:space="preserve"> siendo necesario en este caso, para efectos del impuesto sobre las ventas, remitirse al concepto determinante de la obligación.</w:t>
      </w:r>
      <w:r w:rsidRPr="005C1CDC">
        <w:rPr>
          <w:rStyle w:val="Cuerpodeltexto3Sincursiva"/>
          <w:rFonts w:ascii="Verdana" w:hAnsi="Verdana"/>
          <w:i w:val="0"/>
          <w:iCs w:val="0"/>
          <w:sz w:val="24"/>
          <w:szCs w:val="24"/>
        </w:rPr>
        <w:t xml:space="preserve"> ’ </w:t>
      </w:r>
      <w:r w:rsidRPr="005C1CDC">
        <w:rPr>
          <w:rStyle w:val="Cuerpodeltexto31"/>
          <w:rFonts w:ascii="Verdana" w:hAnsi="Verdana"/>
          <w:sz w:val="24"/>
          <w:szCs w:val="24"/>
        </w:rPr>
        <w:t>(Concepto 00001 de 2003).</w:t>
      </w:r>
    </w:p>
    <w:p w14:paraId="09ADE18C" w14:textId="77777777" w:rsidR="002570E2" w:rsidRPr="005C1CDC" w:rsidRDefault="00243CE3" w:rsidP="005C1CDC">
      <w:pPr>
        <w:pStyle w:val="Sinespaciado"/>
        <w:ind w:left="708"/>
        <w:jc w:val="both"/>
        <w:rPr>
          <w:rFonts w:ascii="Verdana" w:hAnsi="Verdana"/>
        </w:rPr>
      </w:pPr>
      <w:r w:rsidRPr="005C1CDC">
        <w:rPr>
          <w:rStyle w:val="Cuerpodeltexto31"/>
          <w:rFonts w:ascii="Verdana" w:hAnsi="Verdana"/>
          <w:sz w:val="24"/>
          <w:szCs w:val="24"/>
        </w:rPr>
        <w:lastRenderedPageBreak/>
        <w:t>En la misma línea, la jurisprudencia del Consejo de Estado ha indicado que:</w:t>
      </w:r>
    </w:p>
    <w:p w14:paraId="2977990F" w14:textId="77777777" w:rsidR="005C1CDC" w:rsidRDefault="005C1CDC" w:rsidP="005C1CDC">
      <w:pPr>
        <w:pStyle w:val="Sinespaciado"/>
        <w:ind w:left="708"/>
        <w:jc w:val="both"/>
        <w:rPr>
          <w:rStyle w:val="Cuerpodeltexto31"/>
          <w:rFonts w:ascii="Verdana" w:hAnsi="Verdana"/>
          <w:sz w:val="24"/>
          <w:szCs w:val="24"/>
        </w:rPr>
      </w:pPr>
    </w:p>
    <w:p w14:paraId="6EB27C57" w14:textId="2A1958FD" w:rsidR="002570E2" w:rsidRPr="005C1CDC" w:rsidRDefault="00243CE3" w:rsidP="005C1CDC">
      <w:pPr>
        <w:pStyle w:val="Sinespaciado"/>
        <w:ind w:left="708"/>
        <w:jc w:val="both"/>
        <w:rPr>
          <w:rFonts w:ascii="Verdana" w:hAnsi="Verdana"/>
        </w:rPr>
      </w:pPr>
      <w:r w:rsidRPr="005C1CDC">
        <w:rPr>
          <w:rStyle w:val="Cuerpodeltexto31"/>
          <w:rFonts w:ascii="Verdana" w:hAnsi="Verdana"/>
          <w:sz w:val="24"/>
          <w:szCs w:val="24"/>
        </w:rPr>
        <w:t xml:space="preserve">‘En la sentencia del 23 de octubre de 2014, exp 19915, que se reitera, la Sección Cuarta precisó que los </w:t>
      </w:r>
      <w:r w:rsidRPr="005C1CDC">
        <w:rPr>
          <w:rStyle w:val="Cuerpodeltexto32"/>
          <w:rFonts w:ascii="Verdana" w:hAnsi="Verdana"/>
          <w:sz w:val="24"/>
          <w:szCs w:val="24"/>
        </w:rPr>
        <w:t>servicios intermedios</w:t>
      </w:r>
      <w:r w:rsidRPr="005C1CDC">
        <w:rPr>
          <w:rStyle w:val="Cuerpodeltexto31"/>
          <w:rFonts w:ascii="Verdana" w:hAnsi="Verdana"/>
          <w:sz w:val="24"/>
          <w:szCs w:val="24"/>
        </w:rPr>
        <w:t xml:space="preserve"> deben cumplir tres condiciones:</w:t>
      </w:r>
    </w:p>
    <w:p w14:paraId="2D5A3340" w14:textId="77777777" w:rsidR="005C1CDC" w:rsidRDefault="005C1CDC" w:rsidP="005C1CDC">
      <w:pPr>
        <w:pStyle w:val="Sinespaciado"/>
        <w:ind w:left="708"/>
        <w:jc w:val="both"/>
        <w:rPr>
          <w:rStyle w:val="Cuerpodeltexto31"/>
          <w:rFonts w:ascii="Verdana" w:hAnsi="Verdana"/>
          <w:sz w:val="24"/>
          <w:szCs w:val="24"/>
        </w:rPr>
      </w:pPr>
    </w:p>
    <w:p w14:paraId="5059168E" w14:textId="77E736A1" w:rsidR="002570E2" w:rsidRPr="005C1CDC" w:rsidRDefault="00243CE3" w:rsidP="005C1CDC">
      <w:pPr>
        <w:pStyle w:val="Sinespaciado"/>
        <w:numPr>
          <w:ilvl w:val="0"/>
          <w:numId w:val="5"/>
        </w:numPr>
        <w:jc w:val="both"/>
        <w:rPr>
          <w:rFonts w:ascii="Verdana" w:hAnsi="Verdana"/>
        </w:rPr>
      </w:pPr>
      <w:r w:rsidRPr="005C1CDC">
        <w:rPr>
          <w:rStyle w:val="Cuerpodeltexto31"/>
          <w:rFonts w:ascii="Verdana" w:hAnsi="Verdana"/>
          <w:sz w:val="24"/>
          <w:szCs w:val="24"/>
        </w:rPr>
        <w:t>Que recaigan sobre bienes corporales muebles.</w:t>
      </w:r>
    </w:p>
    <w:p w14:paraId="04C336A8" w14:textId="4289B39E" w:rsidR="002570E2" w:rsidRPr="005C1CDC" w:rsidRDefault="00243CE3" w:rsidP="005C1CDC">
      <w:pPr>
        <w:pStyle w:val="Sinespaciado"/>
        <w:numPr>
          <w:ilvl w:val="0"/>
          <w:numId w:val="5"/>
        </w:numPr>
        <w:jc w:val="both"/>
        <w:rPr>
          <w:rFonts w:ascii="Verdana" w:hAnsi="Verdana"/>
        </w:rPr>
      </w:pPr>
      <w:r w:rsidRPr="005C1CDC">
        <w:rPr>
          <w:rStyle w:val="Cuerpodeltexto31"/>
          <w:rFonts w:ascii="Verdana" w:hAnsi="Verdana"/>
          <w:sz w:val="24"/>
          <w:szCs w:val="24"/>
        </w:rPr>
        <w:t>Que se contraten por terceros.</w:t>
      </w:r>
    </w:p>
    <w:p w14:paraId="5014822E" w14:textId="785EE45B" w:rsidR="002570E2" w:rsidRPr="005C1CDC" w:rsidRDefault="00243CE3" w:rsidP="005C1CDC">
      <w:pPr>
        <w:pStyle w:val="Sinespaciado"/>
        <w:numPr>
          <w:ilvl w:val="0"/>
          <w:numId w:val="5"/>
        </w:numPr>
        <w:jc w:val="both"/>
        <w:rPr>
          <w:rFonts w:ascii="Verdana" w:hAnsi="Verdana"/>
        </w:rPr>
      </w:pPr>
      <w:r w:rsidRPr="005C1CDC">
        <w:rPr>
          <w:rStyle w:val="Cuerpodeltexto32"/>
          <w:rFonts w:ascii="Verdana" w:hAnsi="Verdana"/>
          <w:sz w:val="24"/>
          <w:szCs w:val="24"/>
        </w:rPr>
        <w:t>Que se presten para obtener el producto final o para coadyuvar a su fabricación, elaboración, construcción o puesta en condiciones de utilización</w:t>
      </w:r>
      <w:r w:rsidRPr="005C1CDC">
        <w:rPr>
          <w:rStyle w:val="Cuerpodeltexto31"/>
          <w:rFonts w:ascii="Verdana" w:hAnsi="Verdana"/>
          <w:sz w:val="24"/>
          <w:szCs w:val="24"/>
        </w:rPr>
        <w:t>.’ (Sentencia 22345 del 13 de julio de 2017).</w:t>
      </w:r>
    </w:p>
    <w:p w14:paraId="13BCE33F" w14:textId="77777777" w:rsidR="005C1CDC" w:rsidRDefault="005C1CDC" w:rsidP="005C1CDC">
      <w:pPr>
        <w:pStyle w:val="Sinespaciado"/>
        <w:ind w:left="708"/>
        <w:jc w:val="both"/>
        <w:rPr>
          <w:rStyle w:val="Cuerpodeltexto31"/>
          <w:rFonts w:ascii="Verdana" w:hAnsi="Verdana"/>
          <w:sz w:val="24"/>
          <w:szCs w:val="24"/>
        </w:rPr>
      </w:pPr>
    </w:p>
    <w:p w14:paraId="3DD2EC90" w14:textId="5066A5B4" w:rsidR="002570E2" w:rsidRPr="005C1CDC" w:rsidRDefault="00243CE3" w:rsidP="005C1CDC">
      <w:pPr>
        <w:pStyle w:val="Sinespaciado"/>
        <w:ind w:left="708"/>
        <w:jc w:val="both"/>
        <w:rPr>
          <w:rFonts w:ascii="Verdana" w:hAnsi="Verdana"/>
        </w:rPr>
      </w:pPr>
      <w:r w:rsidRPr="005C1CDC">
        <w:rPr>
          <w:rStyle w:val="Cuerpodeltexto31"/>
          <w:rFonts w:ascii="Verdana" w:hAnsi="Verdana"/>
          <w:sz w:val="24"/>
          <w:szCs w:val="24"/>
        </w:rPr>
        <w:t xml:space="preserve">Textualmente, se consideró en esa jurisprudencia que: si el mismo productor no efectúa un determinado proceso, sino que encarga su ejecución total o parcial a un tercero, la realización de esta actividad configura un ‘servicio intermedio de la producción’, de cuya prestación se </w:t>
      </w:r>
      <w:r w:rsidRPr="005C1CDC">
        <w:rPr>
          <w:rStyle w:val="Cuerpodeltexto32"/>
          <w:rFonts w:ascii="Verdana" w:hAnsi="Verdana"/>
          <w:sz w:val="24"/>
          <w:szCs w:val="24"/>
        </w:rPr>
        <w:t>obtiene un bien corporal mueble</w:t>
      </w:r>
      <w:r w:rsidRPr="005C1CDC">
        <w:rPr>
          <w:rStyle w:val="Cuerpodeltexto32"/>
          <w:rFonts w:ascii="Verdana" w:hAnsi="Verdana"/>
          <w:sz w:val="24"/>
          <w:szCs w:val="24"/>
          <w:u w:val="none"/>
        </w:rPr>
        <w:t>,</w:t>
      </w:r>
      <w:r w:rsidRPr="005C1CDC">
        <w:rPr>
          <w:rStyle w:val="Cuerpodeltexto31"/>
          <w:rFonts w:ascii="Verdana" w:hAnsi="Verdana"/>
          <w:sz w:val="24"/>
          <w:szCs w:val="24"/>
        </w:rPr>
        <w:t xml:space="preserve"> o esté ya producido, se coloca en </w:t>
      </w:r>
      <w:r w:rsidRPr="005C1CDC">
        <w:rPr>
          <w:rStyle w:val="Cuerpodeltexto32"/>
          <w:rFonts w:ascii="Verdana" w:hAnsi="Verdana"/>
          <w:sz w:val="24"/>
          <w:szCs w:val="24"/>
        </w:rPr>
        <w:t>condiciones de utilización</w:t>
      </w:r>
      <w:r w:rsidRPr="005C1CDC">
        <w:rPr>
          <w:rStyle w:val="Cuerpodeltexto32"/>
          <w:rFonts w:ascii="Verdana" w:hAnsi="Verdana"/>
          <w:sz w:val="24"/>
          <w:szCs w:val="24"/>
          <w:u w:val="none"/>
        </w:rPr>
        <w:t>,</w:t>
      </w:r>
      <w:r w:rsidRPr="005C1CDC">
        <w:rPr>
          <w:rStyle w:val="Cuerpodeltexto31"/>
          <w:rFonts w:ascii="Verdana" w:hAnsi="Verdana"/>
          <w:sz w:val="24"/>
          <w:szCs w:val="24"/>
        </w:rPr>
        <w:t xml:space="preserve"> sin que se requiera la adición o aporte de materias primas.</w:t>
      </w:r>
      <w:r w:rsidRPr="005C1CDC">
        <w:rPr>
          <w:rStyle w:val="Cuerpodeltexto3Sincursiva"/>
          <w:rFonts w:ascii="Verdana" w:hAnsi="Verdana"/>
          <w:i w:val="0"/>
          <w:iCs w:val="0"/>
          <w:sz w:val="24"/>
          <w:szCs w:val="24"/>
        </w:rPr>
        <w:t xml:space="preserve">’ </w:t>
      </w:r>
      <w:r w:rsidRPr="005C1CDC">
        <w:rPr>
          <w:rStyle w:val="Cuerpodeltexto31"/>
          <w:rFonts w:ascii="Verdana" w:hAnsi="Verdana"/>
          <w:sz w:val="24"/>
          <w:szCs w:val="24"/>
        </w:rPr>
        <w:t>(Sentencia 20994 del 15 de marzo de 2018).</w:t>
      </w:r>
    </w:p>
    <w:p w14:paraId="647046CE" w14:textId="77777777" w:rsidR="005C1CDC" w:rsidRDefault="005C1CDC" w:rsidP="005C1CDC">
      <w:pPr>
        <w:pStyle w:val="Sinespaciado"/>
        <w:ind w:left="708"/>
        <w:jc w:val="both"/>
        <w:rPr>
          <w:rStyle w:val="Cuerpodeltexto31"/>
          <w:rFonts w:ascii="Verdana" w:hAnsi="Verdana"/>
          <w:sz w:val="24"/>
          <w:szCs w:val="24"/>
        </w:rPr>
      </w:pPr>
    </w:p>
    <w:p w14:paraId="5FCA1F96" w14:textId="0CEFBE9D" w:rsidR="002570E2" w:rsidRPr="005C1CDC" w:rsidRDefault="00243CE3" w:rsidP="005C1CDC">
      <w:pPr>
        <w:pStyle w:val="Sinespaciado"/>
        <w:ind w:left="708"/>
        <w:jc w:val="both"/>
        <w:rPr>
          <w:rFonts w:ascii="Verdana" w:hAnsi="Verdana"/>
        </w:rPr>
      </w:pPr>
      <w:r w:rsidRPr="005C1CDC">
        <w:rPr>
          <w:rStyle w:val="Cuerpodeltexto31"/>
          <w:rFonts w:ascii="Verdana" w:hAnsi="Verdana"/>
          <w:sz w:val="24"/>
          <w:szCs w:val="24"/>
        </w:rPr>
        <w:t>Así las cosas, un servicio calificará dentro de la categoría de ‘servicio intermedio de la producción’, siempre y cuando se cumplan las disposiciones normativas pertinentes, y las condiciones y requisitos señalados anteriormente.</w:t>
      </w:r>
    </w:p>
    <w:p w14:paraId="106FB58F" w14:textId="77777777" w:rsidR="00596B57" w:rsidRDefault="00596B57" w:rsidP="005C1CDC">
      <w:pPr>
        <w:pStyle w:val="Sinespaciado"/>
        <w:ind w:left="708"/>
        <w:jc w:val="both"/>
        <w:rPr>
          <w:rStyle w:val="Cuerpodeltexto22CursivaEspaciado0pto"/>
          <w:rFonts w:ascii="Verdana" w:hAnsi="Verdana"/>
          <w:sz w:val="24"/>
          <w:szCs w:val="24"/>
        </w:rPr>
      </w:pPr>
    </w:p>
    <w:p w14:paraId="682A9E13" w14:textId="407CD7CD" w:rsidR="002570E2" w:rsidRPr="005C1CDC" w:rsidRDefault="00243CE3" w:rsidP="005C1CDC">
      <w:pPr>
        <w:pStyle w:val="Sinespaciado"/>
        <w:ind w:left="708"/>
        <w:jc w:val="both"/>
        <w:rPr>
          <w:rFonts w:ascii="Verdana" w:hAnsi="Verdana"/>
        </w:rPr>
      </w:pPr>
      <w:r w:rsidRPr="005C1CDC">
        <w:rPr>
          <w:rStyle w:val="Cuerpodeltexto22CursivaEspaciado0pto"/>
          <w:rFonts w:ascii="Verdana" w:hAnsi="Verdana"/>
          <w:sz w:val="24"/>
          <w:szCs w:val="24"/>
        </w:rPr>
        <w:t>(...)”.</w:t>
      </w:r>
      <w:r w:rsidRPr="005C1CDC">
        <w:rPr>
          <w:rStyle w:val="Cuerpodeltexto22Espaciado0pto"/>
          <w:rFonts w:ascii="Verdana" w:hAnsi="Verdana"/>
          <w:sz w:val="24"/>
          <w:szCs w:val="24"/>
        </w:rPr>
        <w:t xml:space="preserve"> (Subrayado por fuera de texto).</w:t>
      </w:r>
    </w:p>
    <w:p w14:paraId="716930A8" w14:textId="77777777" w:rsidR="00596B57" w:rsidRDefault="00596B57" w:rsidP="005C1CDC">
      <w:pPr>
        <w:pStyle w:val="Sinespaciado"/>
        <w:jc w:val="both"/>
        <w:rPr>
          <w:rStyle w:val="Cuerpodeltexto22Espaciado0pto"/>
          <w:rFonts w:ascii="Verdana" w:hAnsi="Verdana"/>
          <w:sz w:val="24"/>
          <w:szCs w:val="24"/>
        </w:rPr>
      </w:pPr>
    </w:p>
    <w:p w14:paraId="45FF1DE9" w14:textId="2894D983" w:rsidR="002570E2" w:rsidRPr="005C1CDC" w:rsidRDefault="00243CE3" w:rsidP="005C1CDC">
      <w:pPr>
        <w:pStyle w:val="Sinespaciado"/>
        <w:jc w:val="both"/>
        <w:rPr>
          <w:rFonts w:ascii="Verdana" w:hAnsi="Verdana"/>
        </w:rPr>
      </w:pPr>
      <w:r w:rsidRPr="005C1CDC">
        <w:rPr>
          <w:rStyle w:val="Cuerpodeltexto22Espaciado0pto"/>
          <w:rFonts w:ascii="Verdana" w:hAnsi="Verdana"/>
          <w:sz w:val="24"/>
          <w:szCs w:val="24"/>
        </w:rPr>
        <w:t>Es de anotar que los elementos señalados, a nivel normativo y jurisprudencial, deben concurrir en su totalidad para efectos de dar aplicación a lo dispuesto en el parágrafo del artículo 476 del Estatuto Tributario.</w:t>
      </w:r>
    </w:p>
    <w:p w14:paraId="255887C0" w14:textId="77777777" w:rsidR="00596B57" w:rsidRDefault="00596B57" w:rsidP="005C1CDC">
      <w:pPr>
        <w:pStyle w:val="Sinespaciado"/>
        <w:jc w:val="both"/>
        <w:rPr>
          <w:rStyle w:val="Cuerpodeltexto22Espaciado0pto"/>
          <w:rFonts w:ascii="Verdana" w:hAnsi="Verdana"/>
          <w:sz w:val="24"/>
          <w:szCs w:val="24"/>
        </w:rPr>
      </w:pPr>
    </w:p>
    <w:p w14:paraId="672B59C5" w14:textId="6B7C9477" w:rsidR="002570E2" w:rsidRPr="005C1CDC" w:rsidRDefault="00243CE3" w:rsidP="005C1CDC">
      <w:pPr>
        <w:pStyle w:val="Sinespaciado"/>
        <w:jc w:val="both"/>
        <w:rPr>
          <w:rFonts w:ascii="Verdana" w:hAnsi="Verdana"/>
        </w:rPr>
      </w:pPr>
      <w:r w:rsidRPr="005C1CDC">
        <w:rPr>
          <w:rStyle w:val="Cuerpodeltexto22Espaciado0pto"/>
          <w:rFonts w:ascii="Verdana" w:hAnsi="Verdana"/>
          <w:sz w:val="24"/>
          <w:szCs w:val="24"/>
        </w:rPr>
        <w:t>De acuerdo a lo anterior, en la hipótesis bajo análisis no puede concluirse que los valores pagados a un tercero por servicios logísticos de bodegaje, transporte y nacionalización sean considerados servicios intermedios de la producción, por las siguientes razones:</w:t>
      </w:r>
    </w:p>
    <w:p w14:paraId="0D9639B4" w14:textId="77777777" w:rsidR="00596B57" w:rsidRDefault="00596B57" w:rsidP="005C1CDC">
      <w:pPr>
        <w:pStyle w:val="Sinespaciado"/>
        <w:jc w:val="both"/>
        <w:rPr>
          <w:rStyle w:val="Cuerpodeltexto22Espaciado0pto"/>
          <w:rFonts w:ascii="Verdana" w:hAnsi="Verdana"/>
          <w:sz w:val="24"/>
          <w:szCs w:val="24"/>
        </w:rPr>
      </w:pPr>
    </w:p>
    <w:p w14:paraId="250B1FEE" w14:textId="77777777" w:rsidR="00596B57" w:rsidRDefault="00243CE3" w:rsidP="005C1CDC">
      <w:pPr>
        <w:pStyle w:val="Sinespaciado"/>
        <w:numPr>
          <w:ilvl w:val="0"/>
          <w:numId w:val="6"/>
        </w:numPr>
        <w:jc w:val="both"/>
        <w:rPr>
          <w:rFonts w:ascii="Verdana" w:hAnsi="Verdana"/>
        </w:rPr>
      </w:pPr>
      <w:r w:rsidRPr="005C1CDC">
        <w:rPr>
          <w:rStyle w:val="Cuerpodeltexto22Espaciado0pto"/>
          <w:rFonts w:ascii="Verdana" w:hAnsi="Verdana"/>
          <w:sz w:val="24"/>
          <w:szCs w:val="24"/>
        </w:rPr>
        <w:t>La empresa extranjera que contrata dichos servicios logísticos no es productora de los bienes, sino una comercializadora de los mismos; por lo tanto, dichos servicios no están involucrados en un proceso productivo.</w:t>
      </w:r>
    </w:p>
    <w:p w14:paraId="0FF1AD7C" w14:textId="77777777" w:rsidR="00596B57" w:rsidRDefault="00243CE3" w:rsidP="005C1CDC">
      <w:pPr>
        <w:pStyle w:val="Sinespaciado"/>
        <w:numPr>
          <w:ilvl w:val="0"/>
          <w:numId w:val="6"/>
        </w:numPr>
        <w:jc w:val="both"/>
        <w:rPr>
          <w:rFonts w:ascii="Verdana" w:hAnsi="Verdana"/>
        </w:rPr>
      </w:pPr>
      <w:r w:rsidRPr="00596B57">
        <w:rPr>
          <w:rStyle w:val="Cuerpodeltexto22Espaciado0pto"/>
          <w:rFonts w:ascii="Verdana" w:hAnsi="Verdana"/>
          <w:sz w:val="24"/>
          <w:szCs w:val="24"/>
        </w:rPr>
        <w:lastRenderedPageBreak/>
        <w:t>Por lo mismo, al ser comercializadora, se entiende que la empresa extranjera vende los referidos bienes en el mismo estado en que los adquirió; por lo tanto, se presume que los servicios de bodegaje, transporte y nacionalización prestados por el usuario de zona franca constituyen costos de ventas y no costos de producción.</w:t>
      </w:r>
    </w:p>
    <w:p w14:paraId="1EEA0061" w14:textId="77777777" w:rsidR="00596B57" w:rsidRDefault="00596B57" w:rsidP="00596B57">
      <w:pPr>
        <w:pStyle w:val="Sinespaciado"/>
        <w:ind w:left="720"/>
        <w:jc w:val="both"/>
        <w:rPr>
          <w:rFonts w:ascii="Verdana" w:hAnsi="Verdana"/>
        </w:rPr>
      </w:pPr>
    </w:p>
    <w:p w14:paraId="78A60046" w14:textId="4599233F" w:rsidR="002570E2" w:rsidRPr="00596B57" w:rsidRDefault="00243CE3" w:rsidP="005C1CDC">
      <w:pPr>
        <w:pStyle w:val="Sinespaciado"/>
        <w:numPr>
          <w:ilvl w:val="0"/>
          <w:numId w:val="6"/>
        </w:numPr>
        <w:jc w:val="both"/>
        <w:rPr>
          <w:rFonts w:ascii="Verdana" w:hAnsi="Verdana"/>
        </w:rPr>
      </w:pPr>
      <w:r w:rsidRPr="00596B57">
        <w:rPr>
          <w:rStyle w:val="Cuerpodeltexto22Espaciado0pto"/>
          <w:rFonts w:ascii="Verdana" w:hAnsi="Verdana"/>
          <w:sz w:val="24"/>
          <w:szCs w:val="24"/>
        </w:rPr>
        <w:t xml:space="preserve">Los servicios logísticos antes referidos no permiten </w:t>
      </w:r>
      <w:r w:rsidRPr="00596B57">
        <w:rPr>
          <w:rStyle w:val="Cuerpodeltexto22CursivaEspaciado0pto"/>
          <w:rFonts w:ascii="Verdana" w:hAnsi="Verdana"/>
          <w:sz w:val="24"/>
          <w:szCs w:val="24"/>
        </w:rPr>
        <w:t>per se</w:t>
      </w:r>
      <w:r w:rsidRPr="00596B57">
        <w:rPr>
          <w:rStyle w:val="Cuerpodeltexto22Espaciado0pto"/>
          <w:rFonts w:ascii="Verdana" w:hAnsi="Verdana"/>
          <w:sz w:val="24"/>
          <w:szCs w:val="24"/>
        </w:rPr>
        <w:t xml:space="preserve"> la obtención de un producto final ni coadyuvan a su fabricación, elaboración, construcción o puesta en condiciones de utilización.</w:t>
      </w:r>
    </w:p>
    <w:p w14:paraId="09A8C7E2" w14:textId="77777777" w:rsidR="00596B57" w:rsidRDefault="00596B57" w:rsidP="005C1CDC">
      <w:pPr>
        <w:pStyle w:val="Sinespaciado"/>
        <w:jc w:val="both"/>
        <w:rPr>
          <w:rStyle w:val="Cuerpodeltexto22Espaciado0pto"/>
          <w:rFonts w:ascii="Verdana" w:hAnsi="Verdana"/>
          <w:sz w:val="24"/>
          <w:szCs w:val="24"/>
        </w:rPr>
      </w:pPr>
    </w:p>
    <w:p w14:paraId="13656D73" w14:textId="121D5093" w:rsidR="002570E2" w:rsidRPr="005C1CDC" w:rsidRDefault="00243CE3" w:rsidP="005C1CDC">
      <w:pPr>
        <w:pStyle w:val="Sinespaciado"/>
        <w:jc w:val="both"/>
        <w:rPr>
          <w:rFonts w:ascii="Verdana" w:hAnsi="Verdana"/>
        </w:rPr>
      </w:pPr>
      <w:r w:rsidRPr="005C1CDC">
        <w:rPr>
          <w:rStyle w:val="Cuerpodeltexto22Espaciado0pto"/>
          <w:rFonts w:ascii="Verdana" w:hAnsi="Verdana"/>
          <w:sz w:val="24"/>
          <w:szCs w:val="24"/>
        </w:rPr>
        <w:t>Así, en este caso, para efectos de lo establecido en el parágrafo del artículo 476 del Estatuto Tributario, los servicios logísticos de bodegaje, transporte y nacionalización no se consideran servicios intermedios de la producción, por ser actividades que no son indispensables para la obtención de un bien final o para ponerlos en condiciones de utilización dentro de un proceso productivo. Por lo tanto, su tratamiento en materia del impuesto sobre las ventas -IVA será el que corresponda respecto de cada servicio en particular (i.e., no estarían exentos de IVA por no seguir el servicio la suerte del producto final).</w:t>
      </w:r>
    </w:p>
    <w:p w14:paraId="110268E9" w14:textId="77777777" w:rsidR="00596B57" w:rsidRDefault="00596B57" w:rsidP="005C1CDC">
      <w:pPr>
        <w:pStyle w:val="Sinespaciado"/>
        <w:jc w:val="both"/>
        <w:rPr>
          <w:rStyle w:val="Cuerpodeltexto22Espaciado0pto"/>
          <w:rFonts w:ascii="Verdana" w:hAnsi="Verdana"/>
          <w:sz w:val="24"/>
          <w:szCs w:val="24"/>
        </w:rPr>
      </w:pPr>
    </w:p>
    <w:p w14:paraId="35249D89" w14:textId="2B08F096" w:rsidR="002570E2" w:rsidRPr="005C1CDC" w:rsidRDefault="00243CE3" w:rsidP="005C1CDC">
      <w:pPr>
        <w:pStyle w:val="Sinespaciado"/>
        <w:jc w:val="both"/>
        <w:rPr>
          <w:rFonts w:ascii="Verdana" w:hAnsi="Verdana"/>
        </w:rPr>
      </w:pPr>
      <w:r w:rsidRPr="005C1CDC">
        <w:rPr>
          <w:rStyle w:val="Cuerpodeltexto22Espaciado0pto"/>
          <w:rFonts w:ascii="Verdana" w:hAnsi="Verdana"/>
          <w:sz w:val="24"/>
          <w:szCs w:val="24"/>
        </w:rPr>
        <w:t>En este sentido, resulta apropiado reiterar lo manifestado en el Oficio No. 001881 de diciembre 21 de 2017:</w:t>
      </w:r>
    </w:p>
    <w:p w14:paraId="4840D0A1" w14:textId="77777777" w:rsidR="00596B57" w:rsidRDefault="00596B57" w:rsidP="005C1CDC">
      <w:pPr>
        <w:pStyle w:val="Sinespaciado"/>
        <w:jc w:val="both"/>
        <w:rPr>
          <w:rStyle w:val="Cuerpodeltexto31"/>
          <w:rFonts w:ascii="Verdana" w:hAnsi="Verdana"/>
          <w:sz w:val="24"/>
          <w:szCs w:val="24"/>
        </w:rPr>
      </w:pPr>
    </w:p>
    <w:p w14:paraId="58BC528E" w14:textId="7A713C03" w:rsidR="002570E2" w:rsidRDefault="00243CE3" w:rsidP="00596B57">
      <w:pPr>
        <w:pStyle w:val="Sinespaciado"/>
        <w:ind w:left="708"/>
        <w:jc w:val="both"/>
        <w:rPr>
          <w:rStyle w:val="Cuerpodeltexto31"/>
          <w:rFonts w:ascii="Verdana" w:hAnsi="Verdana"/>
          <w:sz w:val="24"/>
          <w:szCs w:val="24"/>
        </w:rPr>
      </w:pPr>
      <w:r w:rsidRPr="005C1CDC">
        <w:rPr>
          <w:rStyle w:val="Cuerpodeltexto31"/>
          <w:rFonts w:ascii="Verdana" w:hAnsi="Verdana"/>
          <w:sz w:val="24"/>
          <w:szCs w:val="24"/>
        </w:rPr>
        <w:t>“(...) se debe tener en cuenta la Doctrina del Oficio 087707 de 2007:</w:t>
      </w:r>
    </w:p>
    <w:p w14:paraId="65182BE2" w14:textId="6B587369" w:rsidR="00596B57" w:rsidRDefault="00596B57" w:rsidP="00596B57">
      <w:pPr>
        <w:pStyle w:val="Sinespaciado"/>
        <w:ind w:left="708"/>
        <w:jc w:val="both"/>
        <w:rPr>
          <w:rStyle w:val="Cuerpodeltexto31"/>
          <w:rFonts w:ascii="Verdana" w:hAnsi="Verdana"/>
          <w:sz w:val="24"/>
          <w:szCs w:val="24"/>
        </w:rPr>
      </w:pPr>
    </w:p>
    <w:p w14:paraId="3B507C14" w14:textId="641E7BBF" w:rsidR="00596B57" w:rsidRPr="005C1CDC" w:rsidRDefault="00596B57" w:rsidP="00596B57">
      <w:pPr>
        <w:pStyle w:val="Sinespaciado"/>
        <w:ind w:left="708"/>
        <w:jc w:val="both"/>
        <w:rPr>
          <w:rFonts w:ascii="Verdana" w:hAnsi="Verdana"/>
        </w:rPr>
      </w:pPr>
      <w:r w:rsidRPr="005C1CDC">
        <w:rPr>
          <w:rStyle w:val="Cuerpodeltexto31"/>
          <w:rFonts w:ascii="Verdana" w:hAnsi="Verdana"/>
          <w:sz w:val="24"/>
          <w:szCs w:val="24"/>
        </w:rPr>
        <w:t>‘</w:t>
      </w:r>
      <w:r>
        <w:rPr>
          <w:rStyle w:val="Cuerpodeltexto31"/>
          <w:rFonts w:ascii="Verdana" w:hAnsi="Verdana"/>
          <w:sz w:val="24"/>
          <w:szCs w:val="24"/>
        </w:rPr>
        <w:t>(…)</w:t>
      </w:r>
    </w:p>
    <w:p w14:paraId="39CCA20A" w14:textId="77777777" w:rsidR="00596B57" w:rsidRDefault="00596B57" w:rsidP="00596B57">
      <w:pPr>
        <w:pStyle w:val="Sinespaciado"/>
        <w:ind w:left="708"/>
        <w:jc w:val="both"/>
        <w:rPr>
          <w:rStyle w:val="Cuerpodeltexto31"/>
          <w:rFonts w:ascii="Verdana" w:hAnsi="Verdana"/>
          <w:sz w:val="24"/>
          <w:szCs w:val="24"/>
        </w:rPr>
      </w:pPr>
    </w:p>
    <w:p w14:paraId="4BB7FDDB" w14:textId="79908F0B" w:rsidR="002570E2" w:rsidRPr="005C1CDC" w:rsidRDefault="00243CE3" w:rsidP="00596B57">
      <w:pPr>
        <w:pStyle w:val="Sinespaciado"/>
        <w:ind w:left="708"/>
        <w:jc w:val="both"/>
        <w:rPr>
          <w:rFonts w:ascii="Verdana" w:hAnsi="Verdana"/>
        </w:rPr>
      </w:pPr>
      <w:r w:rsidRPr="005C1CDC">
        <w:rPr>
          <w:rStyle w:val="Cuerpodeltexto31"/>
          <w:rFonts w:ascii="Verdana" w:hAnsi="Verdana"/>
          <w:sz w:val="24"/>
          <w:szCs w:val="24"/>
        </w:rPr>
        <w:t xml:space="preserve">Por tanto, es de concluir que (...) los servicios prestados dentro de la Zona Franca, se rigen por la norma general del artículo 420 del Estatuto Tributario, es decir, están gravados con IVA, </w:t>
      </w:r>
      <w:r w:rsidRPr="005C1CDC">
        <w:rPr>
          <w:rStyle w:val="Cuerpodeltexto32"/>
          <w:rFonts w:ascii="Verdana" w:hAnsi="Verdana"/>
          <w:sz w:val="24"/>
          <w:szCs w:val="24"/>
        </w:rPr>
        <w:t>salvo que por disposición expresa de la ley, se consideren excluidos o exentos del gravamen</w:t>
      </w:r>
      <w:r w:rsidRPr="005C1CDC">
        <w:rPr>
          <w:rStyle w:val="Cuerpodeltexto31"/>
          <w:rFonts w:ascii="Verdana" w:hAnsi="Verdana"/>
          <w:sz w:val="24"/>
          <w:szCs w:val="24"/>
        </w:rPr>
        <w:t>. (...)</w:t>
      </w:r>
    </w:p>
    <w:p w14:paraId="0812AE9C" w14:textId="77777777" w:rsidR="00596B57" w:rsidRDefault="00596B57" w:rsidP="00596B57">
      <w:pPr>
        <w:pStyle w:val="Sinespaciado"/>
        <w:ind w:left="708"/>
        <w:jc w:val="both"/>
        <w:rPr>
          <w:rStyle w:val="Cuerpodeltexto31"/>
          <w:rFonts w:ascii="Verdana" w:hAnsi="Verdana"/>
          <w:sz w:val="24"/>
          <w:szCs w:val="24"/>
        </w:rPr>
      </w:pPr>
    </w:p>
    <w:p w14:paraId="6C92A674" w14:textId="007E4B12" w:rsidR="002570E2" w:rsidRPr="005C1CDC" w:rsidRDefault="00243CE3" w:rsidP="00596B57">
      <w:pPr>
        <w:pStyle w:val="Sinespaciado"/>
        <w:ind w:left="708"/>
        <w:jc w:val="both"/>
        <w:rPr>
          <w:rFonts w:ascii="Verdana" w:hAnsi="Verdana"/>
        </w:rPr>
      </w:pPr>
      <w:r w:rsidRPr="005C1CDC">
        <w:rPr>
          <w:rStyle w:val="Cuerpodeltexto31"/>
          <w:rFonts w:ascii="Verdana" w:hAnsi="Verdana"/>
          <w:sz w:val="24"/>
          <w:szCs w:val="24"/>
        </w:rPr>
        <w:t>(...)’ (Énfasis nuestro)”.</w:t>
      </w:r>
    </w:p>
    <w:p w14:paraId="457D0E85" w14:textId="77777777" w:rsidR="00596B57" w:rsidRDefault="00596B57" w:rsidP="005C1CDC">
      <w:pPr>
        <w:pStyle w:val="Sinespaciado"/>
        <w:jc w:val="both"/>
        <w:rPr>
          <w:rStyle w:val="Cuerpodeltexto22Espaciado0pto"/>
          <w:rFonts w:ascii="Verdana" w:hAnsi="Verdana"/>
          <w:sz w:val="24"/>
          <w:szCs w:val="24"/>
        </w:rPr>
      </w:pPr>
    </w:p>
    <w:p w14:paraId="51089F8F" w14:textId="4FC14B92" w:rsidR="002570E2" w:rsidRPr="005C1CDC" w:rsidRDefault="00243CE3" w:rsidP="005C1CDC">
      <w:pPr>
        <w:pStyle w:val="Sinespaciado"/>
        <w:jc w:val="both"/>
        <w:rPr>
          <w:rFonts w:ascii="Verdana" w:hAnsi="Verdana"/>
        </w:rPr>
      </w:pPr>
      <w:r w:rsidRPr="005C1CDC">
        <w:rPr>
          <w:rStyle w:val="Cuerpodeltexto22Espaciado0pto"/>
          <w:rFonts w:ascii="Verdana" w:hAnsi="Verdana"/>
          <w:sz w:val="24"/>
          <w:szCs w:val="24"/>
        </w:rPr>
        <w:t>Frente a la pregunta de cuándo se entiende excluido de la definición de servicio intermedio de la producción un determinado tipo de servicio, se remite al peticionario a lo indicado en el Concepto No. 00001 de 2003 y en el Oficio No. 900925 - int 379 de 2020, anteriormente citados.</w:t>
      </w:r>
    </w:p>
    <w:p w14:paraId="2A174059" w14:textId="77777777" w:rsidR="00596B57" w:rsidRDefault="00596B57" w:rsidP="005C1CDC">
      <w:pPr>
        <w:pStyle w:val="Sinespaciado"/>
        <w:jc w:val="both"/>
        <w:rPr>
          <w:rStyle w:val="Cuerpodeltexto22Espaciado0pto"/>
          <w:rFonts w:ascii="Verdana" w:hAnsi="Verdana"/>
          <w:sz w:val="24"/>
          <w:szCs w:val="24"/>
        </w:rPr>
      </w:pPr>
    </w:p>
    <w:p w14:paraId="52DE0EAF" w14:textId="69A2EAD1" w:rsidR="002570E2" w:rsidRPr="005C1CDC" w:rsidRDefault="00243CE3" w:rsidP="005C1CDC">
      <w:pPr>
        <w:pStyle w:val="Sinespaciado"/>
        <w:jc w:val="both"/>
        <w:rPr>
          <w:rFonts w:ascii="Verdana" w:hAnsi="Verdana"/>
        </w:rPr>
      </w:pPr>
      <w:r w:rsidRPr="005C1CDC">
        <w:rPr>
          <w:rStyle w:val="Cuerpodeltexto22Espaciado0pto"/>
          <w:rFonts w:ascii="Verdana" w:hAnsi="Verdana"/>
          <w:sz w:val="24"/>
          <w:szCs w:val="24"/>
        </w:rPr>
        <w:t xml:space="preserve">Finalmente, se precisa al peticionario que, de conformidad con el artículo 3 de la Ley 1004 de 2005 y el artículo 4 del Decreto 2147 de </w:t>
      </w:r>
      <w:r w:rsidRPr="005C1CDC">
        <w:rPr>
          <w:rStyle w:val="Cuerpodeltexto22Espaciado0pto"/>
          <w:rFonts w:ascii="Verdana" w:hAnsi="Verdana"/>
          <w:sz w:val="24"/>
          <w:szCs w:val="24"/>
        </w:rPr>
        <w:lastRenderedPageBreak/>
        <w:t>2016, las actividades de transporte y nacionalización de mercancía, no son actividades autorizadas para los usuarios de zonas franca y, así mismo, el bodegaje como único servicio logístico solamente puede ser prestado por usuarios comerciales.</w:t>
      </w:r>
    </w:p>
    <w:p w14:paraId="4C43C4A6" w14:textId="77777777" w:rsidR="00596B57" w:rsidRDefault="00596B57" w:rsidP="005C1CDC">
      <w:pPr>
        <w:pStyle w:val="Sinespaciado"/>
        <w:jc w:val="both"/>
        <w:rPr>
          <w:rStyle w:val="Cuerpodeltexto22Espaciado0pto"/>
          <w:rFonts w:ascii="Verdana" w:hAnsi="Verdana"/>
          <w:sz w:val="24"/>
          <w:szCs w:val="24"/>
        </w:rPr>
      </w:pPr>
    </w:p>
    <w:p w14:paraId="2BE63255" w14:textId="05FA90F6" w:rsidR="002570E2" w:rsidRPr="005C1CDC" w:rsidRDefault="00243CE3" w:rsidP="005C1CDC">
      <w:pPr>
        <w:pStyle w:val="Sinespaciado"/>
        <w:jc w:val="both"/>
        <w:rPr>
          <w:rFonts w:ascii="Verdana" w:hAnsi="Verdana"/>
        </w:rPr>
      </w:pPr>
      <w:r w:rsidRPr="005C1CDC">
        <w:rPr>
          <w:rStyle w:val="Cuerpodeltexto22Espaciado0pto"/>
          <w:rFonts w:ascii="Verdana" w:hAnsi="Verdana"/>
          <w:sz w:val="24"/>
          <w:szCs w:val="24"/>
        </w:rPr>
        <w:t>En los anteriores términos se resuelve su solicitud y finalmente le manifestamos que la Dirección de Impuestos y Aduanas Nacionales-DIAN-, con el fin de facilitar a los contribuyentes, usuarios y público en general el acceso directo a sus pronunciamientos doctrinarios, ha publicado en su página de internet</w:t>
      </w:r>
      <w:r w:rsidRPr="00596B57">
        <w:rPr>
          <w:rStyle w:val="Cuerpodeltexto22Espaciado0pto"/>
          <w:rFonts w:ascii="Verdana" w:eastAsia="Microsoft Sans Serif" w:hAnsi="Verdana" w:cs="Microsoft Sans Serif"/>
          <w:sz w:val="24"/>
          <w:szCs w:val="24"/>
        </w:rPr>
        <w:t xml:space="preserve"> www.dian.gov.co</w:t>
      </w:r>
      <w:r w:rsidRPr="00596B57">
        <w:rPr>
          <w:rStyle w:val="Cuerpodeltexto22Espaciado0pto"/>
          <w:rFonts w:ascii="Verdana" w:eastAsia="Microsoft Sans Serif" w:hAnsi="Verdana" w:cs="Microsoft Sans Serif"/>
          <w:sz w:val="24"/>
          <w:szCs w:val="24"/>
          <w:lang w:val="en-US" w:eastAsia="en-US" w:bidi="en-US"/>
        </w:rPr>
        <w:t>,</w:t>
      </w:r>
      <w:r w:rsidRPr="005C1CDC">
        <w:rPr>
          <w:rStyle w:val="Cuerpodeltexto22Espaciado0pto"/>
          <w:rFonts w:ascii="Verdana" w:hAnsi="Verdana"/>
          <w:sz w:val="24"/>
          <w:szCs w:val="24"/>
          <w:lang w:val="en-US" w:eastAsia="en-US" w:bidi="en-US"/>
        </w:rPr>
        <w:t xml:space="preserve"> </w:t>
      </w:r>
      <w:r w:rsidRPr="005C1CDC">
        <w:rPr>
          <w:rStyle w:val="Cuerpodeltexto22Espaciado0pto"/>
          <w:rFonts w:ascii="Verdana" w:hAnsi="Verdana"/>
          <w:sz w:val="24"/>
          <w:szCs w:val="24"/>
        </w:rPr>
        <w:t>la base de conceptos en materia tributaria, aduanera y cambiaria expedidos desde el año 2001, la cual se puede ingresar por el ícono de “Normatividad” -“Doctrina”, dando click en el link “Doctrina Dirección de Gestión Jurídica”.</w:t>
      </w:r>
    </w:p>
    <w:p w14:paraId="36FB2B3A" w14:textId="77777777" w:rsidR="00596B57" w:rsidRDefault="00596B57" w:rsidP="005C1CDC">
      <w:pPr>
        <w:pStyle w:val="Sinespaciado"/>
        <w:jc w:val="both"/>
        <w:rPr>
          <w:rStyle w:val="Cuerpodeltexto22Espaciado0pto"/>
          <w:rFonts w:ascii="Verdana" w:hAnsi="Verdana"/>
          <w:sz w:val="24"/>
          <w:szCs w:val="24"/>
        </w:rPr>
      </w:pPr>
    </w:p>
    <w:p w14:paraId="5033E6B1" w14:textId="77777777" w:rsidR="00596B57" w:rsidRDefault="00596B57" w:rsidP="005C1CDC">
      <w:pPr>
        <w:pStyle w:val="Sinespaciado"/>
        <w:jc w:val="both"/>
        <w:rPr>
          <w:rStyle w:val="Cuerpodeltexto22Espaciado0pto"/>
          <w:rFonts w:ascii="Verdana" w:hAnsi="Verdana"/>
          <w:sz w:val="24"/>
          <w:szCs w:val="24"/>
        </w:rPr>
      </w:pPr>
    </w:p>
    <w:p w14:paraId="3925A9CA" w14:textId="5CB61441" w:rsidR="002570E2" w:rsidRPr="005C1CDC" w:rsidRDefault="00243CE3" w:rsidP="005C1CDC">
      <w:pPr>
        <w:pStyle w:val="Sinespaciado"/>
        <w:jc w:val="both"/>
        <w:rPr>
          <w:rFonts w:ascii="Verdana" w:hAnsi="Verdana"/>
        </w:rPr>
      </w:pPr>
      <w:r w:rsidRPr="005C1CDC">
        <w:rPr>
          <w:rStyle w:val="Cuerpodeltexto22Espaciado0pto"/>
          <w:rFonts w:ascii="Verdana" w:hAnsi="Verdana"/>
          <w:sz w:val="24"/>
          <w:szCs w:val="24"/>
        </w:rPr>
        <w:t>Atentamente,</w:t>
      </w:r>
    </w:p>
    <w:p w14:paraId="345E8A8D" w14:textId="77777777" w:rsidR="00596B57" w:rsidRDefault="00596B57" w:rsidP="005C1CDC">
      <w:pPr>
        <w:pStyle w:val="Sinespaciado"/>
        <w:jc w:val="both"/>
        <w:rPr>
          <w:rFonts w:ascii="Verdana" w:hAnsi="Verdana"/>
        </w:rPr>
      </w:pPr>
    </w:p>
    <w:p w14:paraId="62B7359F" w14:textId="77777777" w:rsidR="00596B57" w:rsidRDefault="00596B57" w:rsidP="005C1CDC">
      <w:pPr>
        <w:pStyle w:val="Sinespaciado"/>
        <w:jc w:val="both"/>
        <w:rPr>
          <w:rFonts w:ascii="Verdana" w:hAnsi="Verdana"/>
        </w:rPr>
      </w:pPr>
    </w:p>
    <w:p w14:paraId="37EA9DF2" w14:textId="77777777" w:rsidR="00596B57" w:rsidRDefault="00596B57" w:rsidP="005C1CDC">
      <w:pPr>
        <w:pStyle w:val="Sinespaciado"/>
        <w:jc w:val="both"/>
        <w:rPr>
          <w:rFonts w:ascii="Verdana" w:hAnsi="Verdana"/>
        </w:rPr>
      </w:pPr>
    </w:p>
    <w:p w14:paraId="3F721DE0" w14:textId="2990ED41" w:rsidR="002570E2" w:rsidRPr="00596B57" w:rsidRDefault="00243CE3" w:rsidP="005C1CDC">
      <w:pPr>
        <w:pStyle w:val="Sinespaciado"/>
        <w:jc w:val="both"/>
        <w:rPr>
          <w:rFonts w:ascii="Verdana" w:hAnsi="Verdana"/>
          <w:b/>
          <w:bCs/>
        </w:rPr>
      </w:pPr>
      <w:r w:rsidRPr="00596B57">
        <w:rPr>
          <w:rFonts w:ascii="Verdana" w:hAnsi="Verdana"/>
          <w:b/>
          <w:bCs/>
        </w:rPr>
        <w:t>NICOLÁS BERNAL ABELLA</w:t>
      </w:r>
    </w:p>
    <w:p w14:paraId="17F0F005" w14:textId="77777777" w:rsidR="002570E2" w:rsidRPr="005C1CDC" w:rsidRDefault="00243CE3" w:rsidP="005C1CDC">
      <w:pPr>
        <w:pStyle w:val="Sinespaciado"/>
        <w:jc w:val="both"/>
        <w:rPr>
          <w:rFonts w:ascii="Verdana" w:hAnsi="Verdana"/>
        </w:rPr>
      </w:pPr>
      <w:r w:rsidRPr="005C1CDC">
        <w:rPr>
          <w:rStyle w:val="Cuerpodeltexto22Espaciado0pto"/>
          <w:rFonts w:ascii="Verdana" w:hAnsi="Verdana"/>
          <w:sz w:val="24"/>
          <w:szCs w:val="24"/>
        </w:rPr>
        <w:t>Subdirector de Gestión Normativa y Doctrina (E)</w:t>
      </w:r>
    </w:p>
    <w:p w14:paraId="0363F282" w14:textId="77777777" w:rsidR="00596B57" w:rsidRDefault="00243CE3" w:rsidP="005C1CDC">
      <w:pPr>
        <w:pStyle w:val="Sinespaciado"/>
        <w:jc w:val="both"/>
        <w:rPr>
          <w:rStyle w:val="Cuerpodeltexto22Espaciado0pto"/>
          <w:rFonts w:ascii="Verdana" w:hAnsi="Verdana"/>
          <w:sz w:val="24"/>
          <w:szCs w:val="24"/>
        </w:rPr>
      </w:pPr>
      <w:r w:rsidRPr="005C1CDC">
        <w:rPr>
          <w:rStyle w:val="Cuerpodeltexto22Espaciado0pto"/>
          <w:rFonts w:ascii="Verdana" w:hAnsi="Verdana"/>
          <w:sz w:val="24"/>
          <w:szCs w:val="24"/>
        </w:rPr>
        <w:t>Dirección de Gestión Jurídica</w:t>
      </w:r>
    </w:p>
    <w:p w14:paraId="6E7E4F34" w14:textId="77777777" w:rsidR="00596B57" w:rsidRDefault="00243CE3" w:rsidP="005C1CDC">
      <w:pPr>
        <w:pStyle w:val="Sinespaciado"/>
        <w:jc w:val="both"/>
        <w:rPr>
          <w:rStyle w:val="Cuerpodeltexto22Espaciado0pto"/>
          <w:rFonts w:ascii="Verdana" w:hAnsi="Verdana"/>
          <w:sz w:val="24"/>
          <w:szCs w:val="24"/>
        </w:rPr>
      </w:pPr>
      <w:r w:rsidRPr="005C1CDC">
        <w:rPr>
          <w:rStyle w:val="Cuerpodeltexto22Espaciado0pto"/>
          <w:rFonts w:ascii="Verdana" w:hAnsi="Verdana"/>
          <w:sz w:val="24"/>
          <w:szCs w:val="24"/>
        </w:rPr>
        <w:t>UAE- Dirección de Impuestos y Aduanas Nacionales</w:t>
      </w:r>
    </w:p>
    <w:p w14:paraId="6BBEBDBB" w14:textId="77777777" w:rsidR="00596B57" w:rsidRDefault="00243CE3" w:rsidP="005C1CDC">
      <w:pPr>
        <w:pStyle w:val="Sinespaciado"/>
        <w:jc w:val="both"/>
        <w:rPr>
          <w:rStyle w:val="Cuerpodeltexto22Espaciado0pto"/>
          <w:rFonts w:ascii="Verdana" w:hAnsi="Verdana"/>
          <w:sz w:val="24"/>
          <w:szCs w:val="24"/>
        </w:rPr>
      </w:pPr>
      <w:r w:rsidRPr="005C1CDC">
        <w:rPr>
          <w:rStyle w:val="Cuerpodeltexto22Espaciado0pto"/>
          <w:rFonts w:ascii="Verdana" w:hAnsi="Verdana"/>
          <w:sz w:val="24"/>
          <w:szCs w:val="24"/>
        </w:rPr>
        <w:t>Cra. 8 N° 6C-38, Piso 4, Edificio San Agustín</w:t>
      </w:r>
    </w:p>
    <w:p w14:paraId="1134BAE6" w14:textId="7659BD44" w:rsidR="002570E2" w:rsidRPr="005C1CDC" w:rsidRDefault="00243CE3" w:rsidP="005C1CDC">
      <w:pPr>
        <w:pStyle w:val="Sinespaciado"/>
        <w:jc w:val="both"/>
        <w:rPr>
          <w:rFonts w:ascii="Verdana" w:hAnsi="Verdana"/>
        </w:rPr>
      </w:pPr>
      <w:r w:rsidRPr="005C1CDC">
        <w:rPr>
          <w:rStyle w:val="Cuerpodeltexto22Espaciado0pto"/>
          <w:rFonts w:ascii="Verdana" w:hAnsi="Verdana"/>
          <w:sz w:val="24"/>
          <w:szCs w:val="24"/>
        </w:rPr>
        <w:t>Bogotá D.C.</w:t>
      </w:r>
    </w:p>
    <w:p w14:paraId="7A3D4515" w14:textId="77777777" w:rsidR="00596B57" w:rsidRDefault="00596B57" w:rsidP="005C1CDC">
      <w:pPr>
        <w:pStyle w:val="Sinespaciado"/>
        <w:jc w:val="both"/>
        <w:rPr>
          <w:rStyle w:val="Cuerpodeltexto91"/>
          <w:rFonts w:ascii="Verdana" w:hAnsi="Verdana"/>
          <w:sz w:val="24"/>
          <w:szCs w:val="24"/>
        </w:rPr>
      </w:pPr>
    </w:p>
    <w:p w14:paraId="31506D52" w14:textId="77777777" w:rsidR="002570E2" w:rsidRPr="005C1CDC" w:rsidRDefault="00243CE3" w:rsidP="005C1CDC">
      <w:pPr>
        <w:pStyle w:val="Sinespaciado"/>
        <w:jc w:val="both"/>
        <w:rPr>
          <w:rFonts w:ascii="Verdana" w:hAnsi="Verdana"/>
        </w:rPr>
      </w:pPr>
      <w:r w:rsidRPr="005C1CDC">
        <w:rPr>
          <w:rStyle w:val="Cuerpodeltexto91"/>
          <w:rFonts w:ascii="Verdana" w:hAnsi="Verdana"/>
          <w:sz w:val="24"/>
          <w:szCs w:val="24"/>
        </w:rPr>
        <w:t>Anexo: Oficio No. 900925 - int 379 de mayo 12 de 2020</w:t>
      </w:r>
    </w:p>
    <w:sectPr w:rsidR="002570E2" w:rsidRPr="005C1CDC" w:rsidSect="005C1CDC">
      <w:type w:val="continuous"/>
      <w:pgSz w:w="12240" w:h="15840" w:code="1"/>
      <w:pgMar w:top="1418" w:right="1701" w:bottom="1418" w:left="1701"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8355" w14:textId="77777777" w:rsidR="002A469F" w:rsidRDefault="002A469F">
      <w:r>
        <w:separator/>
      </w:r>
    </w:p>
  </w:endnote>
  <w:endnote w:type="continuationSeparator" w:id="0">
    <w:p w14:paraId="25B7BBA8" w14:textId="77777777" w:rsidR="002A469F" w:rsidRDefault="002A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A4B1D" w14:textId="77777777" w:rsidR="002A469F" w:rsidRDefault="002A469F"/>
  </w:footnote>
  <w:footnote w:type="continuationSeparator" w:id="0">
    <w:p w14:paraId="42F8545C" w14:textId="77777777" w:rsidR="002A469F" w:rsidRDefault="002A46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881"/>
    <w:multiLevelType w:val="hybridMultilevel"/>
    <w:tmpl w:val="DD9E7A00"/>
    <w:lvl w:ilvl="0" w:tplc="5734E4AA">
      <w:start w:val="1"/>
      <w:numFmt w:val="decimal"/>
      <w:lvlText w:val="%1."/>
      <w:lvlJc w:val="left"/>
      <w:pPr>
        <w:ind w:left="720" w:hanging="360"/>
      </w:pPr>
      <w:rPr>
        <w:rFonts w:eastAsia="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39461D6"/>
    <w:multiLevelType w:val="multilevel"/>
    <w:tmpl w:val="4D26FCA8"/>
    <w:lvl w:ilvl="0">
      <w:start w:val="1"/>
      <w:numFmt w:val="decimal"/>
      <w:lvlText w:val="%1."/>
      <w:lvlJc w:val="left"/>
      <w:rPr>
        <w:rFonts w:ascii="Arial" w:eastAsia="Arial" w:hAnsi="Arial" w:cs="Arial"/>
        <w:b w:val="0"/>
        <w:bCs w:val="0"/>
        <w:i/>
        <w:iCs/>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F378FD"/>
    <w:multiLevelType w:val="multilevel"/>
    <w:tmpl w:val="8B7EFE04"/>
    <w:lvl w:ilvl="0">
      <w:start w:val="1"/>
      <w:numFmt w:val="decimal"/>
      <w:lvlText w:val="%1."/>
      <w:lvlJc w:val="left"/>
      <w:rPr>
        <w:rFonts w:ascii="Arial" w:eastAsia="Arial" w:hAnsi="Arial" w:cs="Arial"/>
        <w:b w:val="0"/>
        <w:bCs w:val="0"/>
        <w:i/>
        <w:iCs/>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59307B"/>
    <w:multiLevelType w:val="hybridMultilevel"/>
    <w:tmpl w:val="CF6A916C"/>
    <w:lvl w:ilvl="0" w:tplc="18FAA52A">
      <w:start w:val="1"/>
      <w:numFmt w:val="decimal"/>
      <w:lvlText w:val="%1."/>
      <w:lvlJc w:val="left"/>
      <w:pPr>
        <w:ind w:left="720" w:hanging="360"/>
      </w:pPr>
      <w:rPr>
        <w:rFonts w:eastAsia="Arial" w:cs="Arial"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FDC7C3B"/>
    <w:multiLevelType w:val="multilevel"/>
    <w:tmpl w:val="4F1083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261958"/>
    <w:multiLevelType w:val="hybridMultilevel"/>
    <w:tmpl w:val="67E8AD58"/>
    <w:lvl w:ilvl="0" w:tplc="1B76DCAC">
      <w:start w:val="1"/>
      <w:numFmt w:val="decimal"/>
      <w:lvlText w:val="%1."/>
      <w:lvlJc w:val="left"/>
      <w:pPr>
        <w:ind w:left="1068" w:hanging="360"/>
      </w:pPr>
      <w:rPr>
        <w:rFonts w:eastAsia="Arial" w:cs="Arial" w:hint="default"/>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E2"/>
    <w:rsid w:val="000B11F7"/>
    <w:rsid w:val="00243CE3"/>
    <w:rsid w:val="002570E2"/>
    <w:rsid w:val="002A469F"/>
    <w:rsid w:val="004C764B"/>
    <w:rsid w:val="00596B57"/>
    <w:rsid w:val="005C1C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F2C1"/>
  <w15:docId w15:val="{D798BD60-F511-4906-9F46-2257A5AE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2">
    <w:name w:val="Cuerpo del texto (22)_"/>
    <w:basedOn w:val="Fuentedeprrafopredeter"/>
    <w:link w:val="Cuerpodeltexto220"/>
    <w:rPr>
      <w:rFonts w:ascii="Arial" w:eastAsia="Arial" w:hAnsi="Arial" w:cs="Arial"/>
      <w:b w:val="0"/>
      <w:bCs w:val="0"/>
      <w:i w:val="0"/>
      <w:iCs w:val="0"/>
      <w:smallCaps w:val="0"/>
      <w:strike w:val="0"/>
      <w:spacing w:val="-10"/>
      <w:sz w:val="20"/>
      <w:szCs w:val="20"/>
      <w:u w:val="none"/>
    </w:rPr>
  </w:style>
  <w:style w:type="character" w:customStyle="1" w:styleId="Cuerpodeltexto22Espaciado0pto">
    <w:name w:val="Cuerpo del texto (22) + Espaciado 0 pto"/>
    <w:basedOn w:val="Cuerpodeltexto22"/>
    <w:rPr>
      <w:rFonts w:ascii="Arial" w:eastAsia="Arial" w:hAnsi="Arial" w:cs="Arial"/>
      <w:b w:val="0"/>
      <w:bCs w:val="0"/>
      <w:i w:val="0"/>
      <w:iCs w:val="0"/>
      <w:smallCaps w:val="0"/>
      <w:strike w:val="0"/>
      <w:color w:val="000000"/>
      <w:spacing w:val="0"/>
      <w:w w:val="100"/>
      <w:position w:val="0"/>
      <w:sz w:val="20"/>
      <w:szCs w:val="20"/>
      <w:u w:val="none"/>
      <w:lang w:val="es-ES" w:eastAsia="es-ES" w:bidi="es-ES"/>
    </w:rPr>
  </w:style>
  <w:style w:type="character" w:customStyle="1" w:styleId="Cuerpodeltexto3">
    <w:name w:val="Cuerpo del texto (3)_"/>
    <w:basedOn w:val="Fuentedeprrafopredeter"/>
    <w:link w:val="Cuerpodeltexto30"/>
    <w:rPr>
      <w:rFonts w:ascii="Arial" w:eastAsia="Arial" w:hAnsi="Arial" w:cs="Arial"/>
      <w:b w:val="0"/>
      <w:bCs w:val="0"/>
      <w:i/>
      <w:iCs/>
      <w:smallCaps w:val="0"/>
      <w:strike w:val="0"/>
      <w:sz w:val="20"/>
      <w:szCs w:val="20"/>
      <w:u w:val="none"/>
    </w:rPr>
  </w:style>
  <w:style w:type="character" w:customStyle="1" w:styleId="Cuerpodeltexto3Sincursiva">
    <w:name w:val="Cuerpo del texto (3) + Sin cursiva"/>
    <w:basedOn w:val="Cuerpodeltexto3"/>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Cuerpodeltexto31">
    <w:name w:val="Cuerpo del texto (3)"/>
    <w:basedOn w:val="Cuerpodeltexto3"/>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Cuerpodeltexto32">
    <w:name w:val="Cuerpo del texto (3)"/>
    <w:basedOn w:val="Cuerpodeltexto3"/>
    <w:rPr>
      <w:rFonts w:ascii="Arial" w:eastAsia="Arial" w:hAnsi="Arial" w:cs="Arial"/>
      <w:b w:val="0"/>
      <w:bCs w:val="0"/>
      <w:i/>
      <w:iCs/>
      <w:smallCaps w:val="0"/>
      <w:strike w:val="0"/>
      <w:color w:val="000000"/>
      <w:spacing w:val="0"/>
      <w:w w:val="100"/>
      <w:position w:val="0"/>
      <w:sz w:val="20"/>
      <w:szCs w:val="20"/>
      <w:u w:val="single"/>
      <w:lang w:val="es-ES" w:eastAsia="es-ES" w:bidi="es-ES"/>
    </w:rPr>
  </w:style>
  <w:style w:type="character" w:customStyle="1" w:styleId="Cuerpodeltexto22CursivaEspaciado0pto">
    <w:name w:val="Cuerpo del texto (22) + Cursiva;Espaciado 0 pto"/>
    <w:basedOn w:val="Cuerpodeltexto22"/>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Cuerpodeltexto22Espaciado0pto0">
    <w:name w:val="Cuerpo del texto (22) + Espaciado 0 pto"/>
    <w:basedOn w:val="Cuerpodeltexto2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Cuerpodeltexto23">
    <w:name w:val="Cuerpo del texto (23)_"/>
    <w:basedOn w:val="Fuentedeprrafopredeter"/>
    <w:link w:val="Cuerpodeltexto230"/>
    <w:rPr>
      <w:rFonts w:ascii="Segoe UI" w:eastAsia="Segoe UI" w:hAnsi="Segoe UI" w:cs="Segoe UI"/>
      <w:b w:val="0"/>
      <w:bCs w:val="0"/>
      <w:i w:val="0"/>
      <w:iCs w:val="0"/>
      <w:smallCaps w:val="0"/>
      <w:strike w:val="0"/>
      <w:w w:val="100"/>
      <w:sz w:val="11"/>
      <w:szCs w:val="11"/>
      <w:u w:val="none"/>
    </w:rPr>
  </w:style>
  <w:style w:type="character" w:customStyle="1" w:styleId="Cuerpodeltexto23Arial75pto">
    <w:name w:val="Cuerpo del texto (23) + Arial;7;5 pto"/>
    <w:basedOn w:val="Cuerpodeltexto23"/>
    <w:rPr>
      <w:rFonts w:ascii="Arial" w:eastAsia="Arial" w:hAnsi="Arial" w:cs="Arial"/>
      <w:b w:val="0"/>
      <w:bCs w:val="0"/>
      <w:i w:val="0"/>
      <w:iCs w:val="0"/>
      <w:smallCaps w:val="0"/>
      <w:strike w:val="0"/>
      <w:color w:val="000000"/>
      <w:spacing w:val="0"/>
      <w:w w:val="100"/>
      <w:position w:val="0"/>
      <w:sz w:val="15"/>
      <w:szCs w:val="15"/>
      <w:u w:val="none"/>
      <w:lang w:val="es-ES" w:eastAsia="es-ES" w:bidi="es-ES"/>
    </w:rPr>
  </w:style>
  <w:style w:type="character" w:customStyle="1" w:styleId="Cuerpodeltexto9">
    <w:name w:val="Cuerpo del texto (9)_"/>
    <w:basedOn w:val="Fuentedeprrafopredeter"/>
    <w:link w:val="Cuerpodeltexto90"/>
    <w:rPr>
      <w:rFonts w:ascii="Arial" w:eastAsia="Arial" w:hAnsi="Arial" w:cs="Arial"/>
      <w:b w:val="0"/>
      <w:bCs w:val="0"/>
      <w:i w:val="0"/>
      <w:iCs w:val="0"/>
      <w:smallCaps w:val="0"/>
      <w:strike w:val="0"/>
      <w:sz w:val="16"/>
      <w:szCs w:val="16"/>
      <w:u w:val="none"/>
    </w:rPr>
  </w:style>
  <w:style w:type="character" w:customStyle="1" w:styleId="Cuerpodeltexto91">
    <w:name w:val="Cuerpo del texto (9)"/>
    <w:basedOn w:val="Cuerpodeltexto9"/>
    <w:rPr>
      <w:rFonts w:ascii="Arial" w:eastAsia="Arial" w:hAnsi="Arial" w:cs="Arial"/>
      <w:b w:val="0"/>
      <w:bCs w:val="0"/>
      <w:i w:val="0"/>
      <w:iCs w:val="0"/>
      <w:smallCaps w:val="0"/>
      <w:strike w:val="0"/>
      <w:color w:val="000000"/>
      <w:spacing w:val="0"/>
      <w:w w:val="100"/>
      <w:position w:val="0"/>
      <w:sz w:val="16"/>
      <w:szCs w:val="16"/>
      <w:u w:val="none"/>
      <w:lang w:val="es-ES" w:eastAsia="es-ES" w:bidi="es-ES"/>
    </w:rPr>
  </w:style>
  <w:style w:type="character" w:customStyle="1" w:styleId="Cuerpodeltexto27">
    <w:name w:val="Cuerpo del texto (27)_"/>
    <w:basedOn w:val="Fuentedeprrafopredeter"/>
    <w:link w:val="Cuerpodeltexto270"/>
    <w:rPr>
      <w:rFonts w:ascii="Arial" w:eastAsia="Arial" w:hAnsi="Arial" w:cs="Arial"/>
      <w:b/>
      <w:bCs/>
      <w:i w:val="0"/>
      <w:iCs w:val="0"/>
      <w:smallCaps w:val="0"/>
      <w:strike w:val="0"/>
      <w:sz w:val="20"/>
      <w:szCs w:val="20"/>
      <w:u w:val="none"/>
    </w:rPr>
  </w:style>
  <w:style w:type="paragraph" w:customStyle="1" w:styleId="Cuerpodeltexto220">
    <w:name w:val="Cuerpo del texto (22)"/>
    <w:basedOn w:val="Normal"/>
    <w:link w:val="Cuerpodeltexto22"/>
    <w:pPr>
      <w:shd w:val="clear" w:color="auto" w:fill="FFFFFF"/>
      <w:spacing w:before="60" w:after="180" w:line="0" w:lineRule="atLeast"/>
      <w:jc w:val="both"/>
    </w:pPr>
    <w:rPr>
      <w:rFonts w:ascii="Arial" w:eastAsia="Arial" w:hAnsi="Arial" w:cs="Arial"/>
      <w:spacing w:val="-10"/>
      <w:sz w:val="20"/>
      <w:szCs w:val="20"/>
    </w:rPr>
  </w:style>
  <w:style w:type="paragraph" w:customStyle="1" w:styleId="Cuerpodeltexto30">
    <w:name w:val="Cuerpo del texto (3)"/>
    <w:basedOn w:val="Normal"/>
    <w:link w:val="Cuerpodeltexto3"/>
    <w:pPr>
      <w:shd w:val="clear" w:color="auto" w:fill="FFFFFF"/>
      <w:spacing w:before="300" w:after="180" w:line="250" w:lineRule="exact"/>
      <w:ind w:hanging="600"/>
      <w:jc w:val="both"/>
    </w:pPr>
    <w:rPr>
      <w:rFonts w:ascii="Arial" w:eastAsia="Arial" w:hAnsi="Arial" w:cs="Arial"/>
      <w:i/>
      <w:iCs/>
      <w:sz w:val="20"/>
      <w:szCs w:val="20"/>
    </w:rPr>
  </w:style>
  <w:style w:type="paragraph" w:customStyle="1" w:styleId="Cuerpodeltexto230">
    <w:name w:val="Cuerpo del texto (23)"/>
    <w:basedOn w:val="Normal"/>
    <w:link w:val="Cuerpodeltexto23"/>
    <w:pPr>
      <w:shd w:val="clear" w:color="auto" w:fill="FFFFFF"/>
      <w:spacing w:before="180" w:line="130" w:lineRule="exact"/>
      <w:jc w:val="both"/>
    </w:pPr>
    <w:rPr>
      <w:rFonts w:ascii="Segoe UI" w:eastAsia="Segoe UI" w:hAnsi="Segoe UI" w:cs="Segoe UI"/>
      <w:sz w:val="11"/>
      <w:szCs w:val="11"/>
    </w:rPr>
  </w:style>
  <w:style w:type="paragraph" w:customStyle="1" w:styleId="Cuerpodeltexto90">
    <w:name w:val="Cuerpo del texto (9)"/>
    <w:basedOn w:val="Normal"/>
    <w:link w:val="Cuerpodeltexto9"/>
    <w:pPr>
      <w:shd w:val="clear" w:color="auto" w:fill="FFFFFF"/>
      <w:spacing w:before="180" w:line="0" w:lineRule="atLeast"/>
    </w:pPr>
    <w:rPr>
      <w:rFonts w:ascii="Arial" w:eastAsia="Arial" w:hAnsi="Arial" w:cs="Arial"/>
      <w:sz w:val="16"/>
      <w:szCs w:val="16"/>
    </w:rPr>
  </w:style>
  <w:style w:type="paragraph" w:customStyle="1" w:styleId="Cuerpodeltexto270">
    <w:name w:val="Cuerpo del texto (27)"/>
    <w:basedOn w:val="Normal"/>
    <w:link w:val="Cuerpodeltexto27"/>
    <w:pPr>
      <w:shd w:val="clear" w:color="auto" w:fill="FFFFFF"/>
      <w:spacing w:after="180" w:line="250" w:lineRule="exact"/>
      <w:jc w:val="both"/>
    </w:pPr>
    <w:rPr>
      <w:rFonts w:ascii="Arial" w:eastAsia="Arial" w:hAnsi="Arial" w:cs="Arial"/>
      <w:b/>
      <w:bCs/>
      <w:sz w:val="20"/>
      <w:szCs w:val="20"/>
    </w:rPr>
  </w:style>
  <w:style w:type="paragraph" w:styleId="Sinespaciado">
    <w:name w:val="No Spacing"/>
    <w:uiPriority w:val="1"/>
    <w:qFormat/>
    <w:rsid w:val="005C1CD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1431</Words>
  <Characters>7871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RMARTINQ</dc:creator>
  <cp:keywords/>
  <cp:lastModifiedBy>Guillermo Alzate Duque</cp:lastModifiedBy>
  <cp:revision>2</cp:revision>
  <dcterms:created xsi:type="dcterms:W3CDTF">2021-07-23T16:14:00Z</dcterms:created>
  <dcterms:modified xsi:type="dcterms:W3CDTF">2021-07-23T16:14:00Z</dcterms:modified>
</cp:coreProperties>
</file>